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52" w:rsidRPr="00B43852" w:rsidRDefault="00B43852" w:rsidP="00B43852">
      <w:pPr>
        <w:rPr>
          <w:rFonts w:ascii="黑体" w:eastAsia="黑体" w:hAnsi="华文仿宋" w:cs="Times New Roman"/>
          <w:sz w:val="32"/>
          <w:szCs w:val="32"/>
        </w:rPr>
      </w:pPr>
      <w:r w:rsidRPr="00B43852">
        <w:rPr>
          <w:rFonts w:ascii="黑体" w:eastAsia="黑体" w:hAnsi="华文仿宋" w:cs="Times New Roman" w:hint="eastAsia"/>
          <w:sz w:val="32"/>
          <w:szCs w:val="32"/>
        </w:rPr>
        <w:t>附件</w:t>
      </w:r>
    </w:p>
    <w:p w:rsidR="00B43852" w:rsidRPr="00B43852" w:rsidRDefault="00B43852" w:rsidP="00B43852">
      <w:pPr>
        <w:rPr>
          <w:rFonts w:ascii="Calibri" w:eastAsia="宋体" w:hAnsi="Calibri" w:cs="Times New Roman"/>
        </w:rPr>
      </w:pPr>
    </w:p>
    <w:p w:rsidR="00B43852" w:rsidRPr="00B43852" w:rsidRDefault="00B43852" w:rsidP="00B4385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43852">
        <w:rPr>
          <w:rFonts w:ascii="Times New Roman" w:eastAsia="方正小标宋简体" w:hAnsi="Times New Roman" w:cs="Times New Roman" w:hint="eastAsia"/>
          <w:sz w:val="44"/>
          <w:szCs w:val="44"/>
        </w:rPr>
        <w:t>养血清脑颗粒（丸）</w:t>
      </w:r>
      <w:r w:rsidRPr="00B43852">
        <w:rPr>
          <w:rFonts w:ascii="Times New Roman" w:eastAsia="方正小标宋简体" w:hAnsi="Times New Roman" w:cs="Times New Roman"/>
          <w:sz w:val="44"/>
          <w:szCs w:val="44"/>
        </w:rPr>
        <w:t>非处方药说明书范本</w:t>
      </w:r>
    </w:p>
    <w:p w:rsidR="00B43852" w:rsidRPr="00B43852" w:rsidRDefault="00B43852" w:rsidP="00B43852">
      <w:pPr>
        <w:spacing w:line="240" w:lineRule="exact"/>
        <w:ind w:leftChars="284" w:left="1876" w:hangingChars="400" w:hanging="128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43852" w:rsidRPr="00B43852" w:rsidRDefault="00B43852" w:rsidP="00B43852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B43852">
        <w:rPr>
          <w:rFonts w:ascii="Times New Roman" w:eastAsia="黑体" w:hAnsi="Times New Roman" w:cs="Times New Roman" w:hint="eastAsia"/>
          <w:sz w:val="36"/>
          <w:szCs w:val="36"/>
        </w:rPr>
        <w:t>养血清脑颗粒</w:t>
      </w:r>
      <w:r w:rsidRPr="00B43852">
        <w:rPr>
          <w:rFonts w:ascii="Times New Roman" w:eastAsia="黑体" w:hAnsi="Times New Roman" w:cs="Times New Roman"/>
          <w:sz w:val="36"/>
          <w:szCs w:val="36"/>
        </w:rPr>
        <w:t>说明书</w:t>
      </w:r>
    </w:p>
    <w:p w:rsidR="00B43852" w:rsidRPr="00B43852" w:rsidRDefault="00B43852" w:rsidP="00950F61">
      <w:pPr>
        <w:spacing w:beforeLines="50" w:afterLines="50" w:line="440" w:lineRule="exact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请仔细阅读说明书并按说明使用或在药师指导下购买和使用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【药品名称】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通用名称：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养血清脑颗粒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汉语拼音：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</w:t>
      </w:r>
      <w:r w:rsidRPr="00B43852">
        <w:rPr>
          <w:rFonts w:ascii="Times New Roman" w:eastAsia="仿宋_GB2312" w:hAnsi="Times New Roman" w:cs="Times New Roman"/>
          <w:color w:val="000000"/>
          <w:spacing w:val="4"/>
          <w:sz w:val="32"/>
          <w:szCs w:val="32"/>
        </w:rPr>
        <w:t>成份</w:t>
      </w: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【性状】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【功能主治】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养血平肝，活血通络。用于血虚肝旺所致头痛，眩晕眼花，心烦易怒，失眠多梦。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【规格】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每袋装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4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克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【用法用量】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口服。一次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4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克，一日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3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次。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【不良反应】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上市后监测数据显示本品可见以下不良反应：皮疹、瘙痒、恶心、呕吐、腹胀、腹泻、腹痛、胃烧灼感、口干、头晕、头痛、头胀、耳鸣、心慌、心悸、血压降低、肝生化指标异常等。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【禁忌】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1.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孕妇禁用。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2.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肝功能失代偿患者禁用。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3.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对本品及所含成份过敏者禁用。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【注意事项】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1.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忌烟、酒及辛辣、油腻食物。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2.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本品有轻度降压作用，低血压者慎用。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3.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肝脏疾病患者慎用。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lastRenderedPageBreak/>
        <w:t>4.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肾病、糖尿病等慢性病严重者应在医师指导下服用。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5.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儿童、哺乳期妇女、年老体弱者应在医师指导下服用。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6.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当使用本品出现不良反应时，应停药并及时就医。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7.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服药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3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天症状无缓解，应去医院就诊。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8.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严格按用法用量服用，本品不宜长期服用。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9.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对本品过敏者禁用，过敏体质者慎用。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10.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本品性状发生改变时禁止使用。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11.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请将本品放在儿童不能接触的地方。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12.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如正在使用其他药品，使用本品前请咨询医师或药师。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【药物相互作用】如与其他药物同时使用可能会发生药物相互作用，详情请咨询医师或药师。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【贮藏】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【包装】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【有效期】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【执行标准】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【批准文号】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【说明书修订日期】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【生产企业】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企业名称：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生产地址：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邮政编码：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电话号码：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传真号码：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网址：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如有问题可与生产企业联系</w:t>
      </w:r>
    </w:p>
    <w:p w:rsidR="00B43852" w:rsidRPr="00B43852" w:rsidRDefault="00B43852" w:rsidP="00B43852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B43852">
        <w:rPr>
          <w:rFonts w:ascii="仿宋_GB2312" w:eastAsia="仿宋_GB2312" w:hAnsi="华文仿宋" w:cs="Times New Roman"/>
          <w:sz w:val="32"/>
          <w:szCs w:val="32"/>
        </w:rPr>
        <w:br w:type="page"/>
      </w:r>
      <w:r w:rsidRPr="00B43852">
        <w:rPr>
          <w:rFonts w:ascii="Times New Roman" w:eastAsia="黑体" w:hAnsi="Times New Roman" w:cs="Times New Roman" w:hint="eastAsia"/>
          <w:sz w:val="36"/>
          <w:szCs w:val="36"/>
        </w:rPr>
        <w:lastRenderedPageBreak/>
        <w:t>养血清脑丸</w:t>
      </w:r>
      <w:r w:rsidRPr="00B43852">
        <w:rPr>
          <w:rFonts w:ascii="Times New Roman" w:eastAsia="黑体" w:hAnsi="Times New Roman" w:cs="Times New Roman"/>
          <w:sz w:val="36"/>
          <w:szCs w:val="36"/>
        </w:rPr>
        <w:t>说明书</w:t>
      </w:r>
    </w:p>
    <w:p w:rsidR="00B43852" w:rsidRPr="00B43852" w:rsidRDefault="00B43852" w:rsidP="00950F61">
      <w:pPr>
        <w:spacing w:beforeLines="50" w:afterLines="50" w:line="440" w:lineRule="exact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请仔细阅读说明书并按说明使用或在药师指导下购买和使用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【药品名称】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通用名称：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养血清脑丸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汉语拼音：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</w:t>
      </w:r>
      <w:r w:rsidRPr="00B43852">
        <w:rPr>
          <w:rFonts w:ascii="Times New Roman" w:eastAsia="仿宋_GB2312" w:hAnsi="Times New Roman" w:cs="Times New Roman"/>
          <w:color w:val="000000"/>
          <w:spacing w:val="4"/>
          <w:sz w:val="32"/>
          <w:szCs w:val="32"/>
        </w:rPr>
        <w:t>成份</w:t>
      </w: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【性状】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【功能主治】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养血平肝，活血通络。用于血虚肝旺所致头痛，眩晕眼花，心烦易怒，失眠多梦。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【规格】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每袋装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2.5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克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【用法用量】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口服。一次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1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袋，一日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3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次。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【不良反应】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上市后监测数据显示本品可见以下不良反应：皮疹、瘙痒、恶心、呕吐、腹胀、腹泻、腹痛、胃烧灼感、口干、头晕、头痛、头胀、耳鸣、心慌、心悸、血压降低、肝生化指标异常等。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【禁忌】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1.</w:t>
      </w:r>
      <w:r w:rsidRPr="00B43852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孕妇禁用。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2.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肝功能失代偿患者禁用。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3.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对本品及所含成份过敏者禁用。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【注意事项】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1.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忌烟、酒及辛辣、油腻食物。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2.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本品有轻度降压作用，低血压者慎用。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3.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肝脏疾病患者慎用。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4.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肾病、糖尿病等慢性病严重者应在医师指导下服用。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5.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儿童、哺乳期妇女、年老体弱者应在医师指导下服用。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6.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当使用本品出现不良反应时，应停药并及时就医。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7.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服药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3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天症状无缓解，应去医院就诊。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8.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严格按用法用量服用，本品不宜长期服用。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lastRenderedPageBreak/>
        <w:t>9.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对本品过敏者禁用，过敏体质者慎用。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10.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本品性状发生改变时禁止使用。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11.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请将本品放在儿童不能接触的地方。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12.</w:t>
      </w:r>
      <w:r w:rsidRPr="00B43852">
        <w:rPr>
          <w:rFonts w:ascii="Times New Roman" w:eastAsia="仿宋_GB2312" w:hAnsi="Times New Roman" w:cs="Times New Roman" w:hint="eastAsia"/>
          <w:bCs/>
          <w:spacing w:val="4"/>
          <w:sz w:val="32"/>
          <w:szCs w:val="32"/>
        </w:rPr>
        <w:t>如正在使用其他药品，使用本品前请咨询医师或药师。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【药物相互作用】如与其他药物同时使用可能会发生药物相互作用，详情请咨询医师或药师。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【贮藏】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【包装】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【有效期】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【执行标准】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【批准文号】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【说明书修订日期】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【生产企业】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企业名称：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生产地址：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邮政编码：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电话号码：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传真号码：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网址：</w:t>
      </w:r>
    </w:p>
    <w:p w:rsidR="00B43852" w:rsidRPr="00B43852" w:rsidRDefault="00B43852" w:rsidP="00B43852">
      <w:pPr>
        <w:spacing w:line="440" w:lineRule="exact"/>
        <w:ind w:firstLineChars="200" w:firstLine="656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B43852">
        <w:rPr>
          <w:rFonts w:ascii="Times New Roman" w:eastAsia="仿宋_GB2312" w:hAnsi="Times New Roman" w:cs="Times New Roman"/>
          <w:spacing w:val="4"/>
          <w:sz w:val="32"/>
          <w:szCs w:val="32"/>
        </w:rPr>
        <w:t>如有问题可与生产企业联系</w:t>
      </w:r>
    </w:p>
    <w:sectPr w:rsidR="00B43852" w:rsidRPr="00B43852" w:rsidSect="00D20151">
      <w:footerReference w:type="even" r:id="rId6"/>
      <w:footerReference w:type="default" r:id="rId7"/>
      <w:pgSz w:w="11906" w:h="16838" w:code="9"/>
      <w:pgMar w:top="1928" w:right="1531" w:bottom="1814" w:left="1531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56" w:rsidRDefault="00636356" w:rsidP="00B43852">
      <w:r>
        <w:separator/>
      </w:r>
    </w:p>
  </w:endnote>
  <w:endnote w:type="continuationSeparator" w:id="1">
    <w:p w:rsidR="00636356" w:rsidRDefault="00636356" w:rsidP="00B43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E6" w:rsidRPr="00D20151" w:rsidRDefault="00B43852">
    <w:pPr>
      <w:pStyle w:val="a4"/>
      <w:rPr>
        <w:sz w:val="28"/>
        <w:szCs w:val="28"/>
      </w:rPr>
    </w:pPr>
    <w:r w:rsidRPr="00D20151">
      <w:rPr>
        <w:rFonts w:hint="eastAsia"/>
        <w:color w:val="FFFFFF"/>
        <w:sz w:val="28"/>
        <w:szCs w:val="28"/>
      </w:rPr>
      <w:t>—</w:t>
    </w:r>
    <w:r w:rsidRPr="00D20151">
      <w:rPr>
        <w:rFonts w:hint="eastAsia"/>
        <w:sz w:val="28"/>
        <w:szCs w:val="28"/>
      </w:rPr>
      <w:t>—</w:t>
    </w:r>
    <w:r w:rsidR="00904685" w:rsidRPr="00D20151">
      <w:rPr>
        <w:sz w:val="28"/>
        <w:szCs w:val="28"/>
      </w:rPr>
      <w:fldChar w:fldCharType="begin"/>
    </w:r>
    <w:r w:rsidRPr="00D20151">
      <w:rPr>
        <w:sz w:val="28"/>
        <w:szCs w:val="28"/>
      </w:rPr>
      <w:instrText>PAGE   \* MERGEFORMAT</w:instrText>
    </w:r>
    <w:r w:rsidR="00904685" w:rsidRPr="00D20151">
      <w:rPr>
        <w:sz w:val="28"/>
        <w:szCs w:val="28"/>
      </w:rPr>
      <w:fldChar w:fldCharType="separate"/>
    </w:r>
    <w:r w:rsidRPr="00601E6B">
      <w:rPr>
        <w:noProof/>
        <w:sz w:val="28"/>
        <w:szCs w:val="28"/>
        <w:lang w:val="zh-CN"/>
      </w:rPr>
      <w:t>6</w:t>
    </w:r>
    <w:r w:rsidR="00904685" w:rsidRPr="00D20151">
      <w:rPr>
        <w:sz w:val="28"/>
        <w:szCs w:val="28"/>
      </w:rPr>
      <w:fldChar w:fldCharType="end"/>
    </w:r>
    <w:r w:rsidRPr="00584C6B">
      <w:rPr>
        <w:rFonts w:hint="eastAsia"/>
        <w:sz w:val="28"/>
        <w:szCs w:val="28"/>
      </w:rPr>
      <w:t>—</w:t>
    </w:r>
  </w:p>
  <w:p w:rsidR="00BB58E6" w:rsidRDefault="006363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E6" w:rsidRPr="00D20151" w:rsidRDefault="00B43852" w:rsidP="00D20151">
    <w:pPr>
      <w:pStyle w:val="a4"/>
      <w:wordWrap w:val="0"/>
      <w:jc w:val="right"/>
      <w:rPr>
        <w:sz w:val="28"/>
        <w:szCs w:val="28"/>
      </w:rPr>
    </w:pPr>
    <w:r w:rsidRPr="00D20151">
      <w:rPr>
        <w:rFonts w:hint="eastAsia"/>
        <w:sz w:val="28"/>
        <w:szCs w:val="28"/>
      </w:rPr>
      <w:t>—</w:t>
    </w:r>
    <w:r w:rsidR="00904685" w:rsidRPr="00D20151">
      <w:rPr>
        <w:sz w:val="28"/>
        <w:szCs w:val="28"/>
      </w:rPr>
      <w:fldChar w:fldCharType="begin"/>
    </w:r>
    <w:r w:rsidRPr="00D20151">
      <w:rPr>
        <w:sz w:val="28"/>
        <w:szCs w:val="28"/>
      </w:rPr>
      <w:instrText>PAGE   \* MERGEFORMAT</w:instrText>
    </w:r>
    <w:r w:rsidR="00904685" w:rsidRPr="00D20151">
      <w:rPr>
        <w:sz w:val="28"/>
        <w:szCs w:val="28"/>
      </w:rPr>
      <w:fldChar w:fldCharType="separate"/>
    </w:r>
    <w:r w:rsidR="005A5534" w:rsidRPr="005A5534">
      <w:rPr>
        <w:noProof/>
        <w:sz w:val="28"/>
        <w:szCs w:val="28"/>
        <w:lang w:val="zh-CN"/>
      </w:rPr>
      <w:t>2</w:t>
    </w:r>
    <w:r w:rsidR="00904685" w:rsidRPr="00D20151">
      <w:rPr>
        <w:sz w:val="28"/>
        <w:szCs w:val="28"/>
      </w:rPr>
      <w:fldChar w:fldCharType="end"/>
    </w:r>
    <w:r w:rsidRPr="00D20151">
      <w:rPr>
        <w:rFonts w:hint="eastAsia"/>
        <w:sz w:val="28"/>
        <w:szCs w:val="28"/>
      </w:rPr>
      <w:t>—</w:t>
    </w:r>
    <w:r w:rsidRPr="00D20151">
      <w:rPr>
        <w:rFonts w:hint="eastAsia"/>
        <w:color w:val="FFFFFF"/>
        <w:sz w:val="28"/>
        <w:szCs w:val="28"/>
      </w:rPr>
      <w:t>—</w:t>
    </w:r>
  </w:p>
  <w:p w:rsidR="00BB58E6" w:rsidRDefault="006363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56" w:rsidRDefault="00636356" w:rsidP="00B43852">
      <w:r>
        <w:separator/>
      </w:r>
    </w:p>
  </w:footnote>
  <w:footnote w:type="continuationSeparator" w:id="1">
    <w:p w:rsidR="00636356" w:rsidRDefault="00636356" w:rsidP="00B43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C35"/>
    <w:rsid w:val="001C0C35"/>
    <w:rsid w:val="004210AC"/>
    <w:rsid w:val="005A5534"/>
    <w:rsid w:val="00636356"/>
    <w:rsid w:val="007341CF"/>
    <w:rsid w:val="00784899"/>
    <w:rsid w:val="00904685"/>
    <w:rsid w:val="00950F61"/>
    <w:rsid w:val="00B4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8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8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1169</Characters>
  <Application>Microsoft Office Word</Application>
  <DocSecurity>0</DocSecurity>
  <Lines>9</Lines>
  <Paragraphs>2</Paragraphs>
  <ScaleCrop>false</ScaleCrop>
  <Company>CFDA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张体灯</dc:creator>
  <cp:keywords/>
  <dc:description/>
  <cp:lastModifiedBy>wxl</cp:lastModifiedBy>
  <cp:revision>2</cp:revision>
  <dcterms:created xsi:type="dcterms:W3CDTF">2019-01-15T08:48:00Z</dcterms:created>
  <dcterms:modified xsi:type="dcterms:W3CDTF">2019-01-15T08:48:00Z</dcterms:modified>
</cp:coreProperties>
</file>