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3"/>
          <w:tab w:val="center" w:pos="6986"/>
        </w:tabs>
        <w:spacing w:line="560" w:lineRule="exact"/>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附表：20款手机保护套评级总表</w:t>
      </w:r>
    </w:p>
    <w:tbl>
      <w:tblPr>
        <w:tblStyle w:val="3"/>
        <w:tblW w:w="1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945"/>
        <w:gridCol w:w="945"/>
        <w:gridCol w:w="945"/>
        <w:gridCol w:w="932"/>
        <w:gridCol w:w="717"/>
        <w:gridCol w:w="1100"/>
        <w:gridCol w:w="699"/>
        <w:gridCol w:w="750"/>
        <w:gridCol w:w="720"/>
        <w:gridCol w:w="1590"/>
        <w:gridCol w:w="724"/>
        <w:gridCol w:w="105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Header/>
        </w:trPr>
        <w:tc>
          <w:tcPr>
            <w:tcW w:w="945" w:type="dxa"/>
            <w:vMerge w:val="restart"/>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品牌</w:t>
            </w:r>
          </w:p>
        </w:tc>
        <w:tc>
          <w:tcPr>
            <w:tcW w:w="945" w:type="dxa"/>
            <w:vMerge w:val="restart"/>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总评</w:t>
            </w:r>
          </w:p>
        </w:tc>
        <w:tc>
          <w:tcPr>
            <w:tcW w:w="945" w:type="dxa"/>
            <w:vMerge w:val="restart"/>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hint="eastAsia" w:ascii="仿宋" w:hAnsi="仿宋" w:eastAsia="仿宋" w:cs="Times New Roman"/>
                <w:b/>
                <w:color w:val="FFFFFF"/>
                <w:kern w:val="0"/>
                <w:sz w:val="22"/>
                <w:lang w:bidi="ar"/>
              </w:rPr>
              <w:t>参考价格</w:t>
            </w:r>
          </w:p>
        </w:tc>
        <w:tc>
          <w:tcPr>
            <w:tcW w:w="945" w:type="dxa"/>
            <w:vMerge w:val="restart"/>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购买</w:t>
            </w:r>
            <w:r>
              <w:rPr>
                <w:rFonts w:hint="eastAsia" w:ascii="仿宋" w:hAnsi="仿宋" w:eastAsia="仿宋" w:cs="Times New Roman"/>
                <w:b/>
                <w:color w:val="FFFFFF"/>
                <w:kern w:val="0"/>
                <w:sz w:val="22"/>
                <w:lang w:bidi="ar"/>
              </w:rPr>
              <w:t>渠道</w:t>
            </w:r>
          </w:p>
        </w:tc>
        <w:tc>
          <w:tcPr>
            <w:tcW w:w="932" w:type="dxa"/>
            <w:vMerge w:val="restart"/>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外观质量</w:t>
            </w:r>
          </w:p>
        </w:tc>
        <w:tc>
          <w:tcPr>
            <w:tcW w:w="3986" w:type="dxa"/>
            <w:gridSpan w:val="5"/>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hint="eastAsia" w:ascii="仿宋" w:hAnsi="仿宋" w:eastAsia="仿宋" w:cs="Times New Roman"/>
                <w:b/>
                <w:color w:val="FFFFFF"/>
                <w:kern w:val="0"/>
                <w:sz w:val="22"/>
                <w:lang w:bidi="ar"/>
              </w:rPr>
              <w:t>耐久耐老化性能</w:t>
            </w:r>
          </w:p>
        </w:tc>
        <w:tc>
          <w:tcPr>
            <w:tcW w:w="4542" w:type="dxa"/>
            <w:gridSpan w:val="4"/>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有毒有害物质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Header/>
        </w:trPr>
        <w:tc>
          <w:tcPr>
            <w:tcW w:w="945" w:type="dxa"/>
            <w:vMerge w:val="continue"/>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p>
        </w:tc>
        <w:tc>
          <w:tcPr>
            <w:tcW w:w="945" w:type="dxa"/>
            <w:vMerge w:val="continue"/>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p>
        </w:tc>
        <w:tc>
          <w:tcPr>
            <w:tcW w:w="945" w:type="dxa"/>
            <w:vMerge w:val="continue"/>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p>
        </w:tc>
        <w:tc>
          <w:tcPr>
            <w:tcW w:w="945" w:type="dxa"/>
            <w:vMerge w:val="continue"/>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p>
        </w:tc>
        <w:tc>
          <w:tcPr>
            <w:tcW w:w="932" w:type="dxa"/>
            <w:vMerge w:val="continue"/>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p>
        </w:tc>
        <w:tc>
          <w:tcPr>
            <w:tcW w:w="717" w:type="dxa"/>
            <w:vMerge w:val="restart"/>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耐久性</w:t>
            </w:r>
          </w:p>
        </w:tc>
        <w:tc>
          <w:tcPr>
            <w:tcW w:w="1100"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耐光照老化性能</w:t>
            </w:r>
          </w:p>
        </w:tc>
        <w:tc>
          <w:tcPr>
            <w:tcW w:w="699"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耐腐蚀性能</w:t>
            </w:r>
          </w:p>
        </w:tc>
        <w:tc>
          <w:tcPr>
            <w:tcW w:w="750"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耐人工汗液</w:t>
            </w:r>
          </w:p>
        </w:tc>
        <w:tc>
          <w:tcPr>
            <w:tcW w:w="720"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耐酒精擦拭</w:t>
            </w:r>
          </w:p>
        </w:tc>
        <w:tc>
          <w:tcPr>
            <w:tcW w:w="1590" w:type="dxa"/>
            <w:vMerge w:val="restart"/>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重金属含量</w:t>
            </w:r>
          </w:p>
        </w:tc>
        <w:tc>
          <w:tcPr>
            <w:tcW w:w="724"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阻燃剂</w:t>
            </w:r>
          </w:p>
        </w:tc>
        <w:tc>
          <w:tcPr>
            <w:tcW w:w="1050"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邻苯二甲酸酯</w:t>
            </w:r>
          </w:p>
        </w:tc>
        <w:tc>
          <w:tcPr>
            <w:tcW w:w="1178" w:type="dxa"/>
            <w:vMerge w:val="restart"/>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多环芳香烃mg/kg  (18PAHS&lt;1)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Header/>
        </w:trPr>
        <w:tc>
          <w:tcPr>
            <w:tcW w:w="945" w:type="dxa"/>
            <w:vMerge w:val="continue"/>
            <w:shd w:val="clear" w:color="auto" w:fill="2F5496" w:themeFill="accent5" w:themeFillShade="BF"/>
            <w:tcMar>
              <w:top w:w="15" w:type="dxa"/>
              <w:left w:w="15" w:type="dxa"/>
              <w:right w:w="15" w:type="dxa"/>
            </w:tcMar>
            <w:vAlign w:val="center"/>
          </w:tcPr>
          <w:p>
            <w:pPr>
              <w:jc w:val="center"/>
              <w:rPr>
                <w:rFonts w:ascii="仿宋" w:hAnsi="仿宋" w:eastAsia="仿宋" w:cs="Times New Roman"/>
                <w:b/>
                <w:color w:val="000000"/>
                <w:sz w:val="22"/>
              </w:rPr>
            </w:pPr>
          </w:p>
        </w:tc>
        <w:tc>
          <w:tcPr>
            <w:tcW w:w="945" w:type="dxa"/>
            <w:vMerge w:val="continue"/>
            <w:shd w:val="clear" w:color="auto" w:fill="B8CCE4"/>
            <w:tcMar>
              <w:top w:w="15" w:type="dxa"/>
              <w:left w:w="15" w:type="dxa"/>
              <w:right w:w="15" w:type="dxa"/>
            </w:tcMar>
            <w:vAlign w:val="center"/>
          </w:tcPr>
          <w:p>
            <w:pPr>
              <w:jc w:val="center"/>
              <w:rPr>
                <w:rFonts w:ascii="仿宋" w:hAnsi="仿宋" w:eastAsia="仿宋" w:cs="Times New Roman"/>
                <w:b/>
                <w:color w:val="000000"/>
                <w:sz w:val="22"/>
              </w:rPr>
            </w:pPr>
          </w:p>
        </w:tc>
        <w:tc>
          <w:tcPr>
            <w:tcW w:w="945" w:type="dxa"/>
            <w:vMerge w:val="continue"/>
            <w:shd w:val="clear" w:color="auto" w:fill="B8CCE4"/>
            <w:tcMar>
              <w:top w:w="15" w:type="dxa"/>
              <w:left w:w="15" w:type="dxa"/>
              <w:right w:w="15" w:type="dxa"/>
            </w:tcMar>
            <w:vAlign w:val="center"/>
          </w:tcPr>
          <w:p>
            <w:pPr>
              <w:jc w:val="center"/>
              <w:rPr>
                <w:rFonts w:ascii="仿宋" w:hAnsi="仿宋" w:eastAsia="仿宋" w:cs="Times New Roman"/>
                <w:b/>
                <w:color w:val="000000"/>
                <w:sz w:val="22"/>
              </w:rPr>
            </w:pPr>
          </w:p>
        </w:tc>
        <w:tc>
          <w:tcPr>
            <w:tcW w:w="945" w:type="dxa"/>
            <w:vMerge w:val="continue"/>
            <w:shd w:val="clear" w:color="auto" w:fill="B8CCE4"/>
            <w:tcMar>
              <w:top w:w="15" w:type="dxa"/>
              <w:left w:w="15" w:type="dxa"/>
              <w:right w:w="15" w:type="dxa"/>
            </w:tcMar>
            <w:vAlign w:val="center"/>
          </w:tcPr>
          <w:p>
            <w:pPr>
              <w:jc w:val="center"/>
              <w:rPr>
                <w:rFonts w:ascii="仿宋" w:hAnsi="仿宋" w:eastAsia="仿宋" w:cs="Times New Roman"/>
                <w:b/>
                <w:color w:val="000000"/>
                <w:sz w:val="22"/>
              </w:rPr>
            </w:pPr>
          </w:p>
        </w:tc>
        <w:tc>
          <w:tcPr>
            <w:tcW w:w="932" w:type="dxa"/>
            <w:vMerge w:val="continue"/>
            <w:shd w:val="clear" w:color="auto" w:fill="B8CCE4"/>
            <w:tcMar>
              <w:top w:w="15" w:type="dxa"/>
              <w:left w:w="15" w:type="dxa"/>
              <w:right w:w="15" w:type="dxa"/>
            </w:tcMar>
            <w:vAlign w:val="center"/>
          </w:tcPr>
          <w:p>
            <w:pPr>
              <w:jc w:val="center"/>
              <w:rPr>
                <w:rFonts w:ascii="仿宋" w:hAnsi="仿宋" w:eastAsia="仿宋" w:cs="Times New Roman"/>
                <w:b/>
                <w:color w:val="000000"/>
                <w:sz w:val="22"/>
              </w:rPr>
            </w:pPr>
          </w:p>
        </w:tc>
        <w:tc>
          <w:tcPr>
            <w:tcW w:w="717" w:type="dxa"/>
            <w:vMerge w:val="continue"/>
            <w:shd w:val="clear" w:color="auto" w:fill="B8CCE4"/>
            <w:tcMar>
              <w:top w:w="15" w:type="dxa"/>
              <w:left w:w="15" w:type="dxa"/>
              <w:right w:w="15" w:type="dxa"/>
            </w:tcMar>
            <w:vAlign w:val="center"/>
          </w:tcPr>
          <w:p>
            <w:pPr>
              <w:jc w:val="center"/>
              <w:rPr>
                <w:rFonts w:ascii="仿宋" w:hAnsi="仿宋" w:eastAsia="仿宋" w:cs="Times New Roman"/>
                <w:b/>
                <w:color w:val="000000"/>
                <w:sz w:val="22"/>
              </w:rPr>
            </w:pPr>
          </w:p>
        </w:tc>
        <w:tc>
          <w:tcPr>
            <w:tcW w:w="1100"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≧4</w:t>
            </w:r>
          </w:p>
        </w:tc>
        <w:tc>
          <w:tcPr>
            <w:tcW w:w="699"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hint="eastAsia" w:ascii="仿宋" w:hAnsi="仿宋" w:eastAsia="仿宋" w:cs="Times New Roman"/>
                <w:b/>
                <w:color w:val="FFFFFF"/>
                <w:kern w:val="0"/>
                <w:sz w:val="22"/>
                <w:lang w:bidi="ar"/>
              </w:rPr>
              <w:t>/</w:t>
            </w:r>
          </w:p>
        </w:tc>
        <w:tc>
          <w:tcPr>
            <w:tcW w:w="750"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hint="eastAsia" w:ascii="仿宋" w:hAnsi="仿宋" w:eastAsia="仿宋" w:cs="Times New Roman"/>
                <w:b/>
                <w:color w:val="FFFFFF"/>
                <w:kern w:val="0"/>
                <w:sz w:val="22"/>
                <w:lang w:bidi="ar"/>
              </w:rPr>
              <w:t>/</w:t>
            </w:r>
          </w:p>
        </w:tc>
        <w:tc>
          <w:tcPr>
            <w:tcW w:w="720"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hint="eastAsia" w:ascii="仿宋" w:hAnsi="仿宋" w:eastAsia="仿宋" w:cs="Times New Roman"/>
                <w:b/>
                <w:color w:val="FFFFFF"/>
                <w:kern w:val="0"/>
                <w:sz w:val="22"/>
                <w:lang w:bidi="ar"/>
              </w:rPr>
              <w:t>/</w:t>
            </w:r>
          </w:p>
        </w:tc>
        <w:tc>
          <w:tcPr>
            <w:tcW w:w="1590" w:type="dxa"/>
            <w:vMerge w:val="continue"/>
            <w:shd w:val="clear" w:color="auto" w:fill="B8CCE4"/>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p>
        </w:tc>
        <w:tc>
          <w:tcPr>
            <w:tcW w:w="724"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0.10%</w:t>
            </w:r>
          </w:p>
        </w:tc>
        <w:tc>
          <w:tcPr>
            <w:tcW w:w="1050" w:type="dxa"/>
            <w:shd w:val="clear" w:color="auto" w:fill="2F5496" w:themeFill="accent5" w:themeFillShade="BF"/>
            <w:tcMar>
              <w:top w:w="15" w:type="dxa"/>
              <w:left w:w="15" w:type="dxa"/>
              <w:right w:w="15" w:type="dxa"/>
            </w:tcMar>
            <w:vAlign w:val="center"/>
          </w:tcPr>
          <w:p>
            <w:pPr>
              <w:widowControl/>
              <w:jc w:val="center"/>
              <w:textAlignment w:val="center"/>
              <w:rPr>
                <w:rFonts w:ascii="仿宋" w:hAnsi="仿宋" w:eastAsia="仿宋" w:cs="Times New Roman"/>
                <w:b/>
                <w:color w:val="FFFFFF"/>
                <w:kern w:val="0"/>
                <w:sz w:val="22"/>
                <w:lang w:bidi="ar"/>
              </w:rPr>
            </w:pPr>
            <w:r>
              <w:rPr>
                <w:rFonts w:ascii="仿宋" w:hAnsi="仿宋" w:eastAsia="仿宋" w:cs="Times New Roman"/>
                <w:b/>
                <w:color w:val="FFFFFF"/>
                <w:kern w:val="0"/>
                <w:sz w:val="22"/>
                <w:lang w:bidi="ar"/>
              </w:rPr>
              <w:t>0.10%</w:t>
            </w:r>
          </w:p>
        </w:tc>
        <w:tc>
          <w:tcPr>
            <w:tcW w:w="1178" w:type="dxa"/>
            <w:vMerge w:val="continue"/>
            <w:shd w:val="clear" w:color="auto" w:fill="B8CCE4"/>
            <w:tcMar>
              <w:top w:w="15" w:type="dxa"/>
              <w:left w:w="15" w:type="dxa"/>
              <w:right w:w="15" w:type="dxa"/>
            </w:tcMar>
            <w:vAlign w:val="center"/>
          </w:tcPr>
          <w:p>
            <w:pPr>
              <w:widowControl/>
              <w:jc w:val="center"/>
              <w:textAlignment w:val="center"/>
              <w:rPr>
                <w:rFonts w:ascii="仿宋" w:hAnsi="仿宋" w:eastAsia="仿宋" w:cs="Times New Roman"/>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洛克</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39</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天猫</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小米</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49</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小米</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OPPO</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99</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OPPO</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摩斯维</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29</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苏宁</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亿色</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29</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京东</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锐舞</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38</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天猫</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Afang</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39</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VIVO</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网易智造</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46.5</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网易</w:t>
            </w:r>
            <w:r>
              <w:rPr>
                <w:rFonts w:hint="eastAsia" w:ascii="仿宋" w:hAnsi="仿宋" w:eastAsia="仿宋" w:cs="Times New Roman"/>
                <w:color w:val="000000"/>
                <w:kern w:val="0"/>
                <w:sz w:val="22"/>
                <w:lang w:bidi="ar"/>
              </w:rPr>
              <w:t>严选</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讯时代</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49</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唯品会</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kern w:val="0"/>
                <w:sz w:val="22"/>
                <w:lang w:bidi="ar"/>
              </w:rPr>
            </w:pPr>
            <w:r>
              <w:rPr>
                <w:rFonts w:hint="eastAsia" w:ascii="仿宋" w:hAnsi="仿宋" w:eastAsia="仿宋" w:cs="Times New Roman"/>
                <w:color w:val="000000"/>
                <w:kern w:val="0"/>
                <w:sz w:val="22"/>
                <w:lang w:bidi="ar"/>
              </w:rPr>
              <w:t>0.9（芘）</w:t>
            </w:r>
          </w:p>
          <w:p>
            <w:pPr>
              <w:widowControl/>
              <w:jc w:val="center"/>
              <w:textAlignment w:val="center"/>
              <w:rPr>
                <w:rFonts w:ascii="仿宋" w:hAnsi="仿宋" w:eastAsia="仿宋" w:cs="Times New Roman"/>
                <w:color w:val="000000"/>
                <w:kern w:val="0"/>
                <w:sz w:val="22"/>
                <w:lang w:bidi="ar"/>
              </w:rPr>
            </w:pPr>
            <w:r>
              <w:rPr>
                <w:rFonts w:hint="eastAsia" w:ascii="仿宋" w:hAnsi="仿宋" w:eastAsia="仿宋" w:cs="Times New Roman"/>
                <w:color w:val="000000"/>
                <w:kern w:val="0"/>
                <w:sz w:val="20"/>
                <w:szCs w:val="20"/>
                <w:lang w:bidi="ar"/>
              </w:rPr>
              <w:t>（限值</w:t>
            </w:r>
            <w:r>
              <w:rPr>
                <w:rFonts w:hint="eastAsia" w:ascii="仿宋" w:hAnsi="仿宋" w:eastAsia="仿宋" w:cs="宋体"/>
                <w:color w:val="000000"/>
                <w:kern w:val="0"/>
                <w:sz w:val="20"/>
                <w:szCs w:val="20"/>
                <w:lang w:bidi="ar"/>
              </w:rPr>
              <w:t>≦</w:t>
            </w:r>
            <w:r>
              <w:rPr>
                <w:rFonts w:hint="eastAsia" w:ascii="仿宋" w:hAnsi="仿宋" w:eastAsia="仿宋" w:cs="Times New Roman"/>
                <w:color w:val="000000"/>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华为</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159</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华为</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苹果</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58</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国美</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摩仕</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99</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京东</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OtterBox Figura</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290</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苹果</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MUNU</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29</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苏宁</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FF0000"/>
                <w:kern w:val="0"/>
                <w:sz w:val="22"/>
                <w:lang w:bidi="ar"/>
              </w:rPr>
              <w:t>3.5</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倍思</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39</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苏宁</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FF0000"/>
                <w:kern w:val="0"/>
                <w:sz w:val="22"/>
                <w:lang w:bidi="ar"/>
              </w:rPr>
              <w:t>3.5</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ESCASE</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19.9</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国美</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FF0000"/>
                <w:sz w:val="22"/>
              </w:rPr>
            </w:pPr>
            <w:r>
              <w:rPr>
                <w:rFonts w:ascii="仿宋" w:hAnsi="仿宋" w:eastAsia="仿宋" w:cs="Times New Roman"/>
                <w:color w:val="FF0000"/>
                <w:kern w:val="0"/>
                <w:sz w:val="22"/>
                <w:lang w:bidi="ar"/>
              </w:rPr>
              <w:t>3</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图拉斯</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38</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天猫</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FF0000"/>
                <w:kern w:val="0"/>
                <w:sz w:val="22"/>
                <w:lang w:bidi="ar"/>
              </w:rPr>
              <w:t>2.5</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卡西乐</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sz w:val="22"/>
              </w:rPr>
              <w:t>★★★</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24.8</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唯品会</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FF0000"/>
                <w:sz w:val="22"/>
              </w:rPr>
            </w:pPr>
            <w:r>
              <w:rPr>
                <w:rFonts w:ascii="仿宋" w:hAnsi="仿宋" w:eastAsia="仿宋" w:cs="Times New Roman"/>
                <w:color w:val="FF0000"/>
                <w:kern w:val="0"/>
                <w:sz w:val="22"/>
                <w:lang w:bidi="ar"/>
              </w:rPr>
              <w:t>2.5</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仿宋" w:hAnsi="仿宋" w:eastAsia="仿宋" w:cs="Times New Roman"/>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图西科</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b/>
                <w:bCs/>
                <w:color w:val="000000"/>
                <w:sz w:val="22"/>
              </w:rPr>
            </w:pPr>
            <w:r>
              <w:rPr>
                <w:rFonts w:hint="eastAsia" w:ascii="仿宋" w:hAnsi="仿宋" w:eastAsia="仿宋" w:cs="Times New Roman"/>
                <w:b/>
                <w:bCs/>
                <w:color w:val="000000"/>
                <w:sz w:val="22"/>
              </w:rPr>
              <w:t>不推荐</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69</w:t>
            </w:r>
          </w:p>
        </w:tc>
        <w:tc>
          <w:tcPr>
            <w:tcW w:w="945"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京东</w:t>
            </w:r>
          </w:p>
        </w:tc>
        <w:tc>
          <w:tcPr>
            <w:tcW w:w="932"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FF0000"/>
                <w:sz w:val="22"/>
              </w:rPr>
            </w:pPr>
            <w:r>
              <w:rPr>
                <w:rFonts w:ascii="仿宋" w:hAnsi="仿宋" w:eastAsia="仿宋" w:cs="Times New Roman"/>
                <w:color w:val="FF0000"/>
                <w:kern w:val="0"/>
                <w:sz w:val="22"/>
                <w:lang w:bidi="ar"/>
              </w:rPr>
              <w:t>不符合</w:t>
            </w:r>
          </w:p>
        </w:tc>
        <w:tc>
          <w:tcPr>
            <w:tcW w:w="72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59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724"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178" w:type="dxa"/>
            <w:shd w:val="clear" w:color="auto" w:fill="FFFFFF"/>
            <w:tcMar>
              <w:top w:w="15" w:type="dxa"/>
              <w:left w:w="15" w:type="dxa"/>
              <w:right w:w="15" w:type="dxa"/>
            </w:tcMar>
            <w:vAlign w:val="center"/>
          </w:tcPr>
          <w:p>
            <w:pPr>
              <w:widowControl/>
              <w:jc w:val="center"/>
              <w:textAlignment w:val="center"/>
              <w:rPr>
                <w:rFonts w:ascii="仿宋" w:hAnsi="仿宋" w:eastAsia="仿宋" w:cs="Times New Roman"/>
                <w:color w:val="FF0000"/>
                <w:kern w:val="0"/>
                <w:sz w:val="22"/>
                <w:lang w:bidi="ar"/>
              </w:rPr>
            </w:pPr>
            <w:r>
              <w:rPr>
                <w:rFonts w:ascii="仿宋" w:hAnsi="仿宋" w:eastAsia="仿宋" w:cs="Times New Roman"/>
                <w:color w:val="FF0000"/>
                <w:kern w:val="0"/>
                <w:sz w:val="22"/>
                <w:lang w:bidi="ar"/>
              </w:rPr>
              <w:t>4.8</w:t>
            </w:r>
            <w:r>
              <w:rPr>
                <w:rFonts w:hint="eastAsia" w:ascii="仿宋" w:hAnsi="仿宋" w:eastAsia="仿宋" w:cs="Times New Roman"/>
                <w:color w:val="FF0000"/>
                <w:kern w:val="0"/>
                <w:sz w:val="22"/>
                <w:lang w:bidi="ar"/>
              </w:rPr>
              <w:t>（萘）</w:t>
            </w:r>
          </w:p>
          <w:p>
            <w:pPr>
              <w:widowControl/>
              <w:jc w:val="center"/>
              <w:textAlignment w:val="center"/>
              <w:rPr>
                <w:rFonts w:ascii="仿宋" w:hAnsi="仿宋" w:eastAsia="仿宋" w:cs="Times New Roman"/>
                <w:color w:val="FF0000"/>
                <w:kern w:val="0"/>
                <w:sz w:val="22"/>
                <w:lang w:bidi="ar"/>
              </w:rPr>
            </w:pPr>
            <w:r>
              <w:rPr>
                <w:rFonts w:hint="eastAsia" w:ascii="仿宋" w:hAnsi="仿宋" w:eastAsia="仿宋" w:cs="Times New Roman"/>
                <w:color w:val="FF0000"/>
                <w:kern w:val="0"/>
                <w:sz w:val="22"/>
                <w:lang w:bidi="ar"/>
              </w:rPr>
              <w:t>（限值</w:t>
            </w:r>
            <w:r>
              <w:rPr>
                <w:rFonts w:hint="eastAsia" w:ascii="仿宋" w:hAnsi="仿宋" w:eastAsia="仿宋" w:cs="宋体"/>
                <w:color w:val="FF0000"/>
                <w:kern w:val="0"/>
                <w:sz w:val="22"/>
                <w:lang w:bidi="ar"/>
              </w:rPr>
              <w:t>≦</w:t>
            </w:r>
            <w:r>
              <w:rPr>
                <w:rFonts w:hint="eastAsia" w:ascii="仿宋" w:hAnsi="仿宋" w:eastAsia="仿宋" w:cs="Times New Roman"/>
                <w:color w:val="FF0000"/>
                <w:kern w:val="0"/>
                <w:sz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跃宁</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b/>
                <w:bCs/>
                <w:color w:val="000000"/>
                <w:sz w:val="22"/>
              </w:rPr>
            </w:pPr>
            <w:r>
              <w:rPr>
                <w:rFonts w:hint="eastAsia" w:ascii="仿宋" w:hAnsi="仿宋" w:eastAsia="仿宋" w:cs="Times New Roman"/>
                <w:b/>
                <w:bCs/>
                <w:color w:val="000000"/>
                <w:sz w:val="22"/>
              </w:rPr>
              <w:t>不推荐</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48</w:t>
            </w:r>
          </w:p>
        </w:tc>
        <w:tc>
          <w:tcPr>
            <w:tcW w:w="945"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天猫</w:t>
            </w:r>
          </w:p>
        </w:tc>
        <w:tc>
          <w:tcPr>
            <w:tcW w:w="932"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17"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10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4.5</w:t>
            </w:r>
          </w:p>
        </w:tc>
        <w:tc>
          <w:tcPr>
            <w:tcW w:w="699"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7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FF0000"/>
                <w:sz w:val="22"/>
              </w:rPr>
            </w:pPr>
            <w:r>
              <w:rPr>
                <w:rFonts w:ascii="仿宋" w:hAnsi="仿宋" w:eastAsia="仿宋" w:cs="Times New Roman"/>
                <w:color w:val="FF0000"/>
                <w:kern w:val="0"/>
                <w:sz w:val="22"/>
                <w:lang w:bidi="ar"/>
              </w:rPr>
              <w:t>不符合</w:t>
            </w:r>
          </w:p>
        </w:tc>
        <w:tc>
          <w:tcPr>
            <w:tcW w:w="72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hint="eastAsia" w:ascii="宋体" w:hAnsi="宋体" w:eastAsia="宋体" w:cs="宋体"/>
                <w:color w:val="000000"/>
                <w:kern w:val="0"/>
                <w:sz w:val="22"/>
                <w:lang w:bidi="ar"/>
              </w:rPr>
              <w:t>√</w:t>
            </w:r>
          </w:p>
        </w:tc>
        <w:tc>
          <w:tcPr>
            <w:tcW w:w="159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FF0000"/>
                <w:kern w:val="0"/>
                <w:sz w:val="22"/>
                <w:lang w:bidi="ar"/>
              </w:rPr>
            </w:pPr>
            <w:r>
              <w:rPr>
                <w:rFonts w:ascii="仿宋" w:hAnsi="仿宋" w:eastAsia="仿宋" w:cs="Times New Roman"/>
                <w:color w:val="FF0000"/>
                <w:kern w:val="0"/>
                <w:sz w:val="22"/>
                <w:lang w:bidi="ar"/>
              </w:rPr>
              <w:t>0.03%</w:t>
            </w:r>
            <w:r>
              <w:rPr>
                <w:rFonts w:hint="eastAsia" w:ascii="仿宋" w:hAnsi="仿宋" w:eastAsia="仿宋" w:cs="Times New Roman"/>
                <w:color w:val="FF0000"/>
                <w:kern w:val="0"/>
                <w:sz w:val="22"/>
                <w:lang w:bidi="ar"/>
              </w:rPr>
              <w:t>（镉）</w:t>
            </w:r>
          </w:p>
          <w:p>
            <w:pPr>
              <w:widowControl/>
              <w:jc w:val="center"/>
              <w:textAlignment w:val="center"/>
              <w:rPr>
                <w:rFonts w:ascii="仿宋" w:hAnsi="仿宋" w:eastAsia="仿宋" w:cs="Times New Roman"/>
                <w:color w:val="FF0000"/>
                <w:kern w:val="0"/>
                <w:sz w:val="22"/>
                <w:lang w:bidi="ar"/>
              </w:rPr>
            </w:pPr>
            <w:r>
              <w:rPr>
                <w:rFonts w:hint="eastAsia" w:ascii="仿宋" w:hAnsi="仿宋" w:eastAsia="仿宋" w:cs="Times New Roman"/>
                <w:color w:val="FF0000"/>
                <w:kern w:val="0"/>
                <w:sz w:val="20"/>
                <w:szCs w:val="20"/>
                <w:lang w:bidi="ar"/>
              </w:rPr>
              <w:t>（限值</w:t>
            </w:r>
            <w:r>
              <w:rPr>
                <w:rFonts w:hint="eastAsia" w:ascii="宋体" w:hAnsi="宋体" w:eastAsia="宋体" w:cs="宋体"/>
                <w:color w:val="FF0000"/>
                <w:kern w:val="0"/>
                <w:sz w:val="20"/>
                <w:szCs w:val="20"/>
                <w:lang w:bidi="ar"/>
              </w:rPr>
              <w:t>≦</w:t>
            </w:r>
            <w:r>
              <w:rPr>
                <w:rFonts w:hint="eastAsia" w:ascii="仿宋" w:hAnsi="仿宋" w:eastAsia="仿宋" w:cs="Times New Roman"/>
                <w:color w:val="FF0000"/>
                <w:kern w:val="0"/>
                <w:sz w:val="20"/>
                <w:szCs w:val="20"/>
                <w:lang w:bidi="ar"/>
              </w:rPr>
              <w:t>0.01%）</w:t>
            </w:r>
          </w:p>
        </w:tc>
        <w:tc>
          <w:tcPr>
            <w:tcW w:w="724"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c>
          <w:tcPr>
            <w:tcW w:w="1050"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FF0000"/>
                <w:kern w:val="0"/>
                <w:sz w:val="22"/>
                <w:lang w:bidi="ar"/>
              </w:rPr>
              <w:t>15.90%</w:t>
            </w:r>
          </w:p>
        </w:tc>
        <w:tc>
          <w:tcPr>
            <w:tcW w:w="1178" w:type="dxa"/>
            <w:shd w:val="clear" w:color="auto" w:fill="B8CCE4"/>
            <w:tcMar>
              <w:top w:w="15" w:type="dxa"/>
              <w:left w:w="15" w:type="dxa"/>
              <w:right w:w="15" w:type="dxa"/>
            </w:tcMar>
            <w:vAlign w:val="center"/>
          </w:tcPr>
          <w:p>
            <w:pPr>
              <w:widowControl/>
              <w:jc w:val="center"/>
              <w:textAlignment w:val="center"/>
              <w:rPr>
                <w:rFonts w:ascii="仿宋" w:hAnsi="仿宋" w:eastAsia="仿宋" w:cs="Times New Roman"/>
                <w:color w:val="000000"/>
                <w:sz w:val="22"/>
              </w:rPr>
            </w:pPr>
            <w:r>
              <w:rPr>
                <w:rFonts w:ascii="仿宋" w:hAnsi="仿宋" w:eastAsia="仿宋" w:cs="Times New Roman"/>
                <w:color w:val="000000"/>
                <w:kern w:val="0"/>
                <w:sz w:val="22"/>
                <w:lang w:bidi="ar"/>
              </w:rPr>
              <w:t>ND</w:t>
            </w:r>
          </w:p>
        </w:tc>
      </w:tr>
    </w:tbl>
    <w:p>
      <w:pPr>
        <w:jc w:val="left"/>
        <w:rPr>
          <w:rFonts w:ascii="Times New Roman" w:hAnsi="Times New Roman" w:eastAsia="仿宋" w:cs="Times New Roman"/>
          <w:sz w:val="24"/>
        </w:rPr>
      </w:pPr>
      <w:r>
        <w:rPr>
          <w:rFonts w:ascii="Times New Roman" w:hAnsi="Times New Roman" w:eastAsia="仿宋" w:cs="Times New Roman"/>
          <w:sz w:val="24"/>
        </w:rPr>
        <w:t>备注：</w:t>
      </w:r>
      <w:r>
        <w:rPr>
          <w:rFonts w:hint="eastAsia" w:ascii="Times New Roman" w:hAnsi="Times New Roman" w:eastAsia="仿宋" w:cs="Times New Roman"/>
          <w:sz w:val="24"/>
        </w:rPr>
        <w:t>1.</w:t>
      </w:r>
      <w:r>
        <w:rPr>
          <w:rFonts w:ascii="Times New Roman" w:hAnsi="Times New Roman" w:eastAsia="仿宋" w:cs="Times New Roman"/>
          <w:sz w:val="24"/>
        </w:rPr>
        <w:t>未检出的的测试项标记为“ND”</w:t>
      </w:r>
      <w:r>
        <w:rPr>
          <w:rFonts w:hint="eastAsia" w:ascii="Times New Roman" w:hAnsi="Times New Roman" w:eastAsia="仿宋" w:cs="Times New Roman"/>
          <w:sz w:val="24"/>
        </w:rPr>
        <w:t>，符合要求的测试项记为“</w:t>
      </w:r>
      <w:r>
        <w:rPr>
          <w:rFonts w:hint="eastAsia" w:ascii="宋体" w:hAnsi="宋体" w:eastAsia="宋体" w:cs="宋体"/>
          <w:color w:val="000000"/>
          <w:kern w:val="0"/>
          <w:sz w:val="22"/>
          <w:lang w:bidi="ar"/>
        </w:rPr>
        <w:t>√</w:t>
      </w:r>
      <w:r>
        <w:rPr>
          <w:rFonts w:hint="eastAsia" w:ascii="Times New Roman" w:hAnsi="Times New Roman" w:eastAsia="仿宋" w:cs="Times New Roman"/>
          <w:sz w:val="24"/>
        </w:rPr>
        <w:t>”，不适用的测试项记为“</w:t>
      </w:r>
      <w:r>
        <w:rPr>
          <w:rFonts w:hint="eastAsia" w:ascii="仿宋" w:hAnsi="仿宋" w:eastAsia="仿宋" w:cs="Times New Roman"/>
          <w:color w:val="000000"/>
          <w:kern w:val="0"/>
          <w:sz w:val="22"/>
          <w:lang w:bidi="ar"/>
        </w:rPr>
        <w:t>-</w:t>
      </w:r>
      <w:r>
        <w:rPr>
          <w:rFonts w:hint="eastAsia" w:ascii="Times New Roman" w:hAnsi="Times New Roman" w:eastAsia="仿宋" w:cs="Times New Roman"/>
          <w:sz w:val="24"/>
        </w:rPr>
        <w:t>”。</w:t>
      </w:r>
    </w:p>
    <w:p>
      <w:pPr>
        <w:pStyle w:val="5"/>
        <w:widowControl/>
        <w:spacing w:line="560" w:lineRule="exact"/>
        <w:ind w:firstLine="720" w:firstLineChars="300"/>
        <w:jc w:val="left"/>
        <w:rPr>
          <w:rFonts w:ascii="Times New Roman" w:hAnsi="Times New Roman" w:eastAsia="仿宋" w:cs="Times New Roman"/>
          <w:sz w:val="24"/>
        </w:rPr>
      </w:pPr>
      <w:r>
        <w:rPr>
          <w:rFonts w:ascii="Times New Roman" w:hAnsi="Times New Roman" w:eastAsia="仿宋" w:cs="Times New Roman"/>
          <w:sz w:val="24"/>
        </w:rPr>
        <w:t>2.总评权重：</w:t>
      </w:r>
      <w:r>
        <w:rPr>
          <w:rFonts w:hint="eastAsia" w:ascii="Times New Roman" w:hAnsi="Times New Roman" w:eastAsia="仿宋" w:cs="Times New Roman"/>
          <w:sz w:val="24"/>
        </w:rPr>
        <w:t>外观质量5</w:t>
      </w:r>
      <w:r>
        <w:rPr>
          <w:rFonts w:ascii="Times New Roman" w:hAnsi="Times New Roman" w:eastAsia="仿宋" w:cs="Times New Roman"/>
          <w:sz w:val="24"/>
        </w:rPr>
        <w:t>%；</w:t>
      </w:r>
      <w:r>
        <w:rPr>
          <w:rFonts w:hint="eastAsia" w:ascii="Times New Roman" w:hAnsi="Times New Roman" w:eastAsia="仿宋" w:cs="Times New Roman"/>
          <w:sz w:val="24"/>
        </w:rPr>
        <w:t>耐久耐老化性能4</w:t>
      </w:r>
      <w:r>
        <w:rPr>
          <w:rFonts w:ascii="Times New Roman" w:hAnsi="Times New Roman" w:eastAsia="仿宋" w:cs="Times New Roman"/>
          <w:sz w:val="24"/>
        </w:rPr>
        <w:t>5%；</w:t>
      </w:r>
      <w:r>
        <w:rPr>
          <w:rFonts w:hint="eastAsia" w:ascii="Times New Roman" w:hAnsi="Times New Roman" w:eastAsia="仿宋" w:cs="Times New Roman"/>
          <w:sz w:val="24"/>
        </w:rPr>
        <w:t>有毒有害物质5</w:t>
      </w:r>
      <w:r>
        <w:rPr>
          <w:rFonts w:ascii="Times New Roman" w:hAnsi="Times New Roman" w:eastAsia="仿宋" w:cs="Times New Roman"/>
          <w:sz w:val="24"/>
        </w:rPr>
        <w:t>0%；</w:t>
      </w:r>
    </w:p>
    <w:p>
      <w:pPr>
        <w:pStyle w:val="5"/>
        <w:widowControl/>
        <w:spacing w:line="560" w:lineRule="exact"/>
        <w:ind w:firstLine="720" w:firstLineChars="300"/>
        <w:jc w:val="left"/>
        <w:rPr>
          <w:rFonts w:ascii="Times New Roman" w:hAnsi="Times New Roman" w:eastAsia="仿宋" w:cs="Times New Roman"/>
          <w:sz w:val="24"/>
        </w:rPr>
      </w:pPr>
      <w:r>
        <w:rPr>
          <w:rFonts w:ascii="Times New Roman" w:hAnsi="Times New Roman" w:eastAsia="仿宋" w:cs="Times New Roman"/>
          <w:sz w:val="24"/>
        </w:rPr>
        <w:t>3.评价结果用“★”表示，“★”越多结果越好，同星级产品排名不分先后。</w:t>
      </w:r>
    </w:p>
    <w:p>
      <w:pPr>
        <w:pStyle w:val="5"/>
        <w:widowControl/>
        <w:spacing w:line="560" w:lineRule="exact"/>
        <w:ind w:firstLine="720" w:firstLineChars="300"/>
        <w:jc w:val="left"/>
        <w:rPr>
          <w:rFonts w:ascii="Times New Roman" w:hAnsi="Times New Roman" w:eastAsia="仿宋" w:cs="Times New Roman"/>
          <w:sz w:val="24"/>
        </w:rPr>
      </w:pPr>
      <w:r>
        <w:rPr>
          <w:rFonts w:hint="eastAsia" w:ascii="Times New Roman" w:hAnsi="Times New Roman" w:eastAsia="仿宋" w:cs="Times New Roman"/>
          <w:sz w:val="24"/>
        </w:rPr>
        <w:t>4</w:t>
      </w:r>
      <w:r>
        <w:rPr>
          <w:rFonts w:ascii="Times New Roman" w:hAnsi="Times New Roman" w:eastAsia="仿宋" w:cs="Times New Roman"/>
          <w:sz w:val="24"/>
        </w:rPr>
        <w:t>.本次比较试验所有样品均由工作人员以普通消费者身份通过正规销售渠道购买；</w:t>
      </w:r>
    </w:p>
    <w:p>
      <w:pPr>
        <w:pStyle w:val="5"/>
        <w:widowControl/>
        <w:spacing w:line="560" w:lineRule="exact"/>
        <w:ind w:firstLine="720" w:firstLineChars="300"/>
        <w:jc w:val="left"/>
        <w:rPr>
          <w:rFonts w:ascii="Times New Roman" w:hAnsi="Times New Roman" w:eastAsia="仿宋" w:cs="Times New Roman"/>
          <w:sz w:val="24"/>
        </w:rPr>
      </w:pPr>
      <w:r>
        <w:rPr>
          <w:rFonts w:hint="eastAsia" w:ascii="Times New Roman" w:hAnsi="Times New Roman" w:eastAsia="仿宋" w:cs="Times New Roman"/>
          <w:sz w:val="24"/>
        </w:rPr>
        <w:t>5</w:t>
      </w:r>
      <w:r>
        <w:rPr>
          <w:rFonts w:ascii="Times New Roman" w:hAnsi="Times New Roman" w:eastAsia="仿宋" w:cs="Times New Roman"/>
          <w:sz w:val="24"/>
        </w:rPr>
        <w:t>.本次比较试验结果仅对所购买的产品负责，结果仅供消费者选购产品参考，不代表同品牌不同批次，不同规格产品的质量状</w:t>
      </w:r>
    </w:p>
    <w:p>
      <w:pPr>
        <w:pStyle w:val="5"/>
        <w:widowControl/>
        <w:spacing w:line="560" w:lineRule="exact"/>
        <w:ind w:firstLine="720" w:firstLineChars="300"/>
        <w:jc w:val="left"/>
        <w:rPr>
          <w:rFonts w:ascii="Times New Roman" w:hAnsi="Times New Roman" w:eastAsia="仿宋" w:cs="Times New Roman"/>
          <w:sz w:val="24"/>
        </w:rPr>
      </w:pPr>
      <w:r>
        <w:rPr>
          <w:rFonts w:ascii="Times New Roman" w:hAnsi="Times New Roman" w:eastAsia="仿宋" w:cs="Times New Roman"/>
          <w:sz w:val="24"/>
        </w:rPr>
        <w:t>况,不构成对任何相关产品的推荐与宣传；</w:t>
      </w:r>
    </w:p>
    <w:p>
      <w:pPr>
        <w:pStyle w:val="5"/>
        <w:widowControl/>
        <w:spacing w:line="560" w:lineRule="exact"/>
        <w:ind w:firstLine="720" w:firstLineChars="300"/>
        <w:jc w:val="left"/>
      </w:pPr>
      <w:bookmarkStart w:id="0" w:name="_GoBack"/>
      <w:bookmarkEnd w:id="0"/>
      <w:r>
        <w:rPr>
          <w:rFonts w:hint="eastAsia" w:ascii="Times New Roman" w:hAnsi="Times New Roman" w:eastAsia="仿宋" w:cs="Times New Roman"/>
          <w:sz w:val="24"/>
        </w:rPr>
        <w:t>6.</w:t>
      </w:r>
      <w:r>
        <w:rPr>
          <w:rFonts w:ascii="Times New Roman" w:hAnsi="Times New Roman" w:eastAsia="仿宋" w:cs="Times New Roman"/>
          <w:sz w:val="24"/>
        </w:rPr>
        <w:t>未经深圳市消委会书面允许，任何单位和个人不得擅自使用本次比较试验结果作为商业宣传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2187F"/>
    <w:rsid w:val="0612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2019-10-09T08:30:00Z</dcterms:created>
  <dc:creator>nani</dc:creator>
  <cp:lastModifiedBy>nani</cp:lastModifiedBy>
  <dcterms:modified xsi:type="dcterms:W3CDTF">2019-10-09T08:31:10Z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