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szCs w:val="32"/>
        </w:rPr>
      </w:pPr>
      <w:r>
        <w:rPr>
          <w:rFonts w:eastAsia="黑体"/>
          <w:szCs w:val="32"/>
        </w:rPr>
        <w:t>附件1</w:t>
      </w:r>
    </w:p>
    <w:p>
      <w:pPr>
        <w:spacing w:line="500" w:lineRule="exact"/>
        <w:jc w:val="center"/>
        <w:rPr>
          <w:rFonts w:ascii="方正小标宋简体" w:hAnsi="方正小标宋简体" w:eastAsia="方正小标宋简体" w:cs="方正小标宋简体"/>
          <w:sz w:val="44"/>
          <w:szCs w:val="44"/>
        </w:rPr>
      </w:pPr>
      <w:r>
        <w:rPr>
          <w:rFonts w:hint="eastAsia" w:eastAsia="方正小标宋简体"/>
          <w:kern w:val="0"/>
          <w:sz w:val="52"/>
          <w:szCs w:val="52"/>
          <w:highlight w:val="none"/>
          <w:lang w:eastAsia="zh-CN"/>
        </w:rPr>
        <w:t>本次检验项目</w:t>
      </w:r>
      <w:bookmarkStart w:id="0" w:name="_GoBack"/>
      <w:bookmarkEnd w:id="0"/>
    </w:p>
    <w:tbl>
      <w:tblPr>
        <w:tblStyle w:val="5"/>
        <w:tblpPr w:leftFromText="180" w:rightFromText="180" w:vertAnchor="text" w:horzAnchor="page" w:tblpX="1490" w:tblpY="568"/>
        <w:tblOverlap w:val="never"/>
        <w:tblW w:w="13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965"/>
        <w:gridCol w:w="1371"/>
        <w:gridCol w:w="1179"/>
        <w:gridCol w:w="6525"/>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5" w:hRule="atLeast"/>
          <w:tblHeader/>
        </w:trPr>
        <w:tc>
          <w:tcPr>
            <w:tcW w:w="1965" w:type="dxa"/>
            <w:vAlign w:val="center"/>
          </w:tcPr>
          <w:p>
            <w:pPr>
              <w:widowControl/>
              <w:spacing w:line="280" w:lineRule="exact"/>
              <w:jc w:val="center"/>
              <w:textAlignment w:val="center"/>
              <w:rPr>
                <w:rFonts w:hint="eastAsia" w:ascii="黑体" w:hAnsi="黑体" w:eastAsia="黑体" w:cs="黑体"/>
                <w:b/>
                <w:bCs w:val="0"/>
                <w:sz w:val="24"/>
                <w:szCs w:val="24"/>
              </w:rPr>
            </w:pPr>
            <w:r>
              <w:rPr>
                <w:rFonts w:hint="eastAsia" w:ascii="黑体" w:hAnsi="黑体" w:eastAsia="黑体" w:cs="黑体"/>
                <w:b/>
                <w:bCs w:val="0"/>
                <w:kern w:val="0"/>
                <w:sz w:val="24"/>
                <w:szCs w:val="24"/>
                <w:lang w:eastAsia="zh-CN" w:bidi="ar"/>
              </w:rPr>
              <w:t>任务名称</w:t>
            </w:r>
          </w:p>
        </w:tc>
        <w:tc>
          <w:tcPr>
            <w:tcW w:w="1371" w:type="dxa"/>
            <w:vAlign w:val="center"/>
          </w:tcPr>
          <w:p>
            <w:pPr>
              <w:widowControl/>
              <w:spacing w:line="280" w:lineRule="exact"/>
              <w:jc w:val="center"/>
              <w:textAlignment w:val="center"/>
              <w:rPr>
                <w:rFonts w:hint="eastAsia" w:ascii="黑体" w:hAnsi="黑体" w:eastAsia="黑体" w:cs="黑体"/>
                <w:b/>
                <w:bCs w:val="0"/>
                <w:kern w:val="0"/>
                <w:sz w:val="24"/>
                <w:szCs w:val="24"/>
                <w:lang w:bidi="ar"/>
              </w:rPr>
            </w:pPr>
            <w:r>
              <w:rPr>
                <w:rFonts w:hint="eastAsia" w:ascii="黑体" w:hAnsi="黑体" w:eastAsia="黑体" w:cs="黑体"/>
                <w:b/>
                <w:bCs w:val="0"/>
                <w:kern w:val="0"/>
                <w:sz w:val="24"/>
                <w:szCs w:val="24"/>
                <w:lang w:eastAsia="zh-CN" w:bidi="ar"/>
              </w:rPr>
              <w:t>保健</w:t>
            </w:r>
            <w:r>
              <w:rPr>
                <w:rFonts w:hint="eastAsia" w:ascii="黑体" w:hAnsi="黑体" w:eastAsia="黑体" w:cs="黑体"/>
                <w:b/>
                <w:bCs w:val="0"/>
                <w:kern w:val="0"/>
                <w:sz w:val="24"/>
                <w:szCs w:val="24"/>
                <w:lang w:bidi="ar"/>
              </w:rPr>
              <w:t>食品</w:t>
            </w:r>
          </w:p>
          <w:p>
            <w:pPr>
              <w:widowControl/>
              <w:spacing w:line="280" w:lineRule="exact"/>
              <w:jc w:val="center"/>
              <w:textAlignment w:val="center"/>
              <w:rPr>
                <w:rFonts w:hint="eastAsia" w:ascii="黑体" w:hAnsi="黑体" w:eastAsia="黑体" w:cs="黑体"/>
                <w:b/>
                <w:bCs w:val="0"/>
                <w:sz w:val="24"/>
                <w:szCs w:val="24"/>
                <w:lang w:eastAsia="zh-CN"/>
              </w:rPr>
            </w:pPr>
            <w:r>
              <w:rPr>
                <w:rFonts w:hint="eastAsia" w:ascii="黑体" w:hAnsi="黑体" w:eastAsia="黑体" w:cs="黑体"/>
                <w:b/>
                <w:bCs w:val="0"/>
                <w:sz w:val="24"/>
                <w:szCs w:val="24"/>
                <w:lang w:eastAsia="zh-CN"/>
              </w:rPr>
              <w:t>种类</w:t>
            </w:r>
          </w:p>
        </w:tc>
        <w:tc>
          <w:tcPr>
            <w:tcW w:w="1179" w:type="dxa"/>
            <w:vAlign w:val="center"/>
          </w:tcPr>
          <w:p>
            <w:pPr>
              <w:widowControl/>
              <w:spacing w:line="280" w:lineRule="exact"/>
              <w:jc w:val="center"/>
              <w:textAlignment w:val="center"/>
              <w:rPr>
                <w:rFonts w:hint="eastAsia" w:ascii="黑体" w:hAnsi="黑体" w:eastAsia="黑体" w:cs="黑体"/>
                <w:b/>
                <w:bCs w:val="0"/>
                <w:sz w:val="24"/>
                <w:szCs w:val="24"/>
              </w:rPr>
            </w:pPr>
            <w:r>
              <w:rPr>
                <w:rFonts w:hint="eastAsia" w:ascii="黑体" w:hAnsi="黑体" w:eastAsia="黑体" w:cs="黑体"/>
                <w:b/>
                <w:bCs w:val="0"/>
                <w:kern w:val="0"/>
                <w:sz w:val="24"/>
                <w:szCs w:val="24"/>
                <w:lang w:bidi="ar"/>
              </w:rPr>
              <w:t>风险等级</w:t>
            </w:r>
          </w:p>
        </w:tc>
        <w:tc>
          <w:tcPr>
            <w:tcW w:w="6525" w:type="dxa"/>
            <w:vAlign w:val="center"/>
          </w:tcPr>
          <w:p>
            <w:pPr>
              <w:widowControl/>
              <w:spacing w:line="280" w:lineRule="exact"/>
              <w:jc w:val="center"/>
              <w:textAlignment w:val="center"/>
              <w:rPr>
                <w:rFonts w:hint="eastAsia" w:ascii="黑体" w:hAnsi="黑体" w:eastAsia="黑体" w:cs="黑体"/>
                <w:b/>
                <w:bCs w:val="0"/>
                <w:sz w:val="24"/>
                <w:szCs w:val="24"/>
              </w:rPr>
            </w:pPr>
            <w:r>
              <w:rPr>
                <w:rFonts w:hint="eastAsia" w:ascii="黑体" w:hAnsi="黑体" w:eastAsia="黑体" w:cs="黑体"/>
                <w:b/>
                <w:bCs w:val="0"/>
                <w:kern w:val="0"/>
                <w:sz w:val="24"/>
                <w:szCs w:val="24"/>
                <w:lang w:eastAsia="zh-CN" w:bidi="ar"/>
              </w:rPr>
              <w:t>检验</w:t>
            </w:r>
            <w:r>
              <w:rPr>
                <w:rFonts w:hint="eastAsia" w:ascii="黑体" w:hAnsi="黑体" w:eastAsia="黑体" w:cs="黑体"/>
                <w:b/>
                <w:bCs w:val="0"/>
                <w:kern w:val="0"/>
                <w:sz w:val="24"/>
                <w:szCs w:val="24"/>
                <w:lang w:bidi="ar"/>
              </w:rPr>
              <w:t>项目</w:t>
            </w:r>
          </w:p>
        </w:tc>
        <w:tc>
          <w:tcPr>
            <w:tcW w:w="2880" w:type="dxa"/>
            <w:vAlign w:val="center"/>
          </w:tcPr>
          <w:p>
            <w:pPr>
              <w:widowControl/>
              <w:spacing w:line="280" w:lineRule="exact"/>
              <w:jc w:val="center"/>
              <w:textAlignment w:val="center"/>
              <w:rPr>
                <w:rFonts w:hint="eastAsia" w:ascii="黑体" w:hAnsi="黑体" w:eastAsia="黑体" w:cs="黑体"/>
                <w:b/>
                <w:bCs w:val="0"/>
                <w:kern w:val="0"/>
                <w:sz w:val="24"/>
                <w:szCs w:val="24"/>
                <w:lang w:bidi="ar"/>
              </w:rPr>
            </w:pPr>
            <w:r>
              <w:rPr>
                <w:rFonts w:hint="eastAsia" w:ascii="黑体" w:hAnsi="黑体" w:eastAsia="黑体" w:cs="黑体"/>
                <w:b/>
                <w:bCs w:val="0"/>
                <w:sz w:val="24"/>
                <w:szCs w:val="24"/>
                <w:highlight w:val="none"/>
              </w:rPr>
              <w:t>检验依据</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280" w:hRule="atLeast"/>
        </w:trPr>
        <w:tc>
          <w:tcPr>
            <w:tcW w:w="1965"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hint="eastAsia" w:ascii="宋体" w:hAnsi="宋体" w:eastAsia="仿宋_GB2312" w:cs="宋体"/>
                <w:kern w:val="0"/>
                <w:sz w:val="22"/>
                <w:szCs w:val="22"/>
                <w:lang w:eastAsia="zh-CN" w:bidi="ar"/>
              </w:rPr>
            </w:pPr>
            <w:r>
              <w:rPr>
                <w:rFonts w:hint="eastAsia" w:ascii="宋体" w:hAnsi="宋体" w:eastAsia="仿宋_GB2312" w:cs="宋体"/>
                <w:kern w:val="0"/>
                <w:sz w:val="22"/>
                <w:szCs w:val="22"/>
                <w:lang w:eastAsia="zh-CN" w:bidi="ar"/>
              </w:rPr>
              <w:t>保健食品中秋国庆节日专项抽检</w:t>
            </w: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营养素补充剂</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营养素</w:t>
            </w:r>
          </w:p>
        </w:tc>
        <w:tc>
          <w:tcPr>
            <w:tcW w:w="288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r>
              <w:rPr>
                <w:rFonts w:hint="eastAsia" w:ascii="仿宋" w:hAnsi="仿宋" w:eastAsia="仿宋" w:cs="仿宋"/>
                <w:kern w:val="0"/>
                <w:sz w:val="22"/>
                <w:szCs w:val="22"/>
                <w:highlight w:val="none"/>
              </w:rPr>
              <w:t>《食品安全国家标准 保健食品》（GB16740-2014）或《企业产品质量标准》、国家食品药品监督管理总局颁布的补充检验方法和检验项目批准件所附质量标准</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718"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其它类别</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功效/标志性成分，并根据产品特点选做重金属（铅、砷、汞）、微生物（菌落总数、大肠菌群、霉菌和酵母、金黄色葡萄球菌、沙门氏菌）、酸价、过氧化值等指标</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440"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减肥类</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盐酸西布曲明、芬氟拉明、酚酞、麻黄碱、N-单去甲基西布曲明、N，N-双去甲基西布曲明、呋塞米</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1151"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改善睡眠类</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地西泮、氯氮卓、氯硝西泮、硝西泮、奥沙西泮、马来酸咪哒唑仑、劳拉西泮、艾司唑仑、阿普唑仑、三唑仑、巴比妥、苯巴比妥、异戊巴比妥、司可巴比妥、氯美扎酮、佐匹克隆、氯苯那敏、扎来普隆、文拉法辛、青藤碱、罗通定、褪黑素</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867"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辅助降血糖类</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苯乙双胍、二甲双胍、格列吡嗪、格列齐特、罗格列酮、瑞格列奈、格列喹酮、呋塞米、甲苯磺丁脲、格列苯脲、格列美脲、马来酸罗格列酮、盐酸吡格列酮、盐酸二甲双胍、盐酸苯乙双胍、盐酸丁二胍、格列波脲</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440"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辅助降血脂类</w:t>
            </w:r>
          </w:p>
        </w:tc>
        <w:tc>
          <w:tcPr>
            <w:tcW w:w="1179"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洛伐他汀、辛伐他汀</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90"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缓解体力疲劳类、增强免疫力类</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伐地那非、西地那非、他达拉非、那红地那非、红地那非、羟基豪莫西地那非、豪莫西地那非、氨基他达拉非、硫代艾地那非、伪伐地那非和那莫西地那非等PDE5型（磷酸二酯酶5型）抑制剂、育亨宾</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560" w:hRule="atLeast"/>
        </w:trPr>
        <w:tc>
          <w:tcPr>
            <w:tcW w:w="1965" w:type="dxa"/>
            <w:vMerge w:val="continue"/>
            <w:tcBorders>
              <w:left w:val="single" w:color="auto" w:sz="4" w:space="0"/>
              <w:right w:val="single" w:color="auto" w:sz="4" w:space="0"/>
            </w:tcBorders>
            <w:vAlign w:val="center"/>
          </w:tcPr>
          <w:p>
            <w:pPr>
              <w:widowControl/>
              <w:spacing w:line="300" w:lineRule="exact"/>
              <w:jc w:val="center"/>
              <w:textAlignment w:val="center"/>
              <w:rPr>
                <w:rFonts w:hint="eastAsia" w:ascii="宋体" w:hAnsi="宋体" w:cs="宋体"/>
                <w:kern w:val="0"/>
                <w:sz w:val="22"/>
                <w:szCs w:val="22"/>
                <w:lang w:bidi="ar"/>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辅助降血压类</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氨氯地平、阿替洛尔、盐酸可乐定、氢氯噻嗪、卡托普利、哌唑嗪、利血平、硝苯地平、尼群地平、尼莫地平、尼索地平、非洛地平</w:t>
            </w:r>
          </w:p>
        </w:tc>
        <w:tc>
          <w:tcPr>
            <w:tcW w:w="2880" w:type="dxa"/>
            <w:vMerge w:val="continue"/>
            <w:tcBorders>
              <w:left w:val="single" w:color="auto" w:sz="4" w:space="0"/>
              <w:right w:val="single" w:color="auto" w:sz="4" w:space="0"/>
            </w:tcBorders>
            <w:vAlign w:val="center"/>
          </w:tcPr>
          <w:p>
            <w:pPr>
              <w:widowControl/>
              <w:spacing w:line="300" w:lineRule="exact"/>
              <w:jc w:val="center"/>
              <w:rPr>
                <w:rFonts w:hint="eastAsia" w:ascii="宋体" w:hAnsi="宋体" w:cs="宋体"/>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15" w:type="dxa"/>
            <w:left w:w="15" w:type="dxa"/>
            <w:bottom w:w="15" w:type="dxa"/>
            <w:right w:w="15" w:type="dxa"/>
          </w:tblCellMar>
        </w:tblPrEx>
        <w:trPr>
          <w:trHeight w:val="1195" w:hRule="atLeast"/>
        </w:trPr>
        <w:tc>
          <w:tcPr>
            <w:tcW w:w="1965" w:type="dxa"/>
            <w:vMerge w:val="continue"/>
            <w:tcBorders>
              <w:left w:val="single" w:color="auto" w:sz="4" w:space="0"/>
              <w:bottom w:val="single" w:color="000000" w:sz="4" w:space="0"/>
              <w:right w:val="single" w:color="auto" w:sz="4" w:space="0"/>
            </w:tcBorders>
            <w:vAlign w:val="center"/>
          </w:tcPr>
          <w:p>
            <w:pPr>
              <w:widowControl/>
              <w:spacing w:line="300" w:lineRule="exact"/>
              <w:jc w:val="center"/>
              <w:textAlignment w:val="center"/>
              <w:rPr>
                <w:rFonts w:hint="eastAsia" w:ascii="宋体" w:hAnsi="宋体" w:cs="宋体"/>
                <w:kern w:val="0"/>
                <w:sz w:val="20"/>
                <w:szCs w:val="20"/>
                <w:lang w:bidi="ar"/>
              </w:rPr>
            </w:pP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含蜂胶类保健食品</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eastAsia" w:ascii="宋体" w:hAnsi="宋体" w:cs="宋体"/>
                <w:kern w:val="0"/>
                <w:sz w:val="22"/>
                <w:szCs w:val="22"/>
                <w:lang w:bidi="ar"/>
              </w:rPr>
            </w:pPr>
            <w:r>
              <w:rPr>
                <w:rFonts w:hint="eastAsia" w:ascii="宋体" w:hAnsi="宋体" w:cs="宋体"/>
                <w:kern w:val="0"/>
                <w:sz w:val="22"/>
                <w:szCs w:val="22"/>
                <w:lang w:bidi="ar"/>
              </w:rPr>
              <w:t>较高</w:t>
            </w:r>
          </w:p>
        </w:tc>
        <w:tc>
          <w:tcPr>
            <w:tcW w:w="6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铅（以Pb计）、氯霉素、喹诺酮类（洛美沙星、培氟沙星、氧氟沙星、诺氟沙星）、山梨酸及其钾盐（以山梨酸计）、菌落总数、大肠菌群、霉菌计数、酵母计数、掺杂掺伪</w:t>
            </w:r>
          </w:p>
        </w:tc>
        <w:tc>
          <w:tcPr>
            <w:tcW w:w="2880" w:type="dxa"/>
            <w:vMerge w:val="continue"/>
            <w:tcBorders>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cs="宋体"/>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05346"/>
    <w:rsid w:val="07613589"/>
    <w:rsid w:val="1DDC66C6"/>
    <w:rsid w:val="3153249C"/>
    <w:rsid w:val="46F12C1A"/>
    <w:rsid w:val="47257819"/>
    <w:rsid w:val="511477A4"/>
    <w:rsid w:val="58B874DF"/>
    <w:rsid w:val="60AA4D0E"/>
    <w:rsid w:val="62505346"/>
    <w:rsid w:val="7BBC0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293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2019-10-11T02:56:00Z</dcterms:created>
  <dc:creator>吴靖雯L</dc:creator>
  <cp:lastModifiedBy>吴靖雯L</cp:lastModifiedBy>
  <dcterms:modified xsi:type="dcterms:W3CDTF">2019-10-11T08:00:30Z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