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黑体" w:eastAsia="黑体"/>
        </w:rPr>
      </w:pPr>
      <w:bookmarkStart w:id="0" w:name="_GoBack"/>
      <w:bookmarkEnd w:id="0"/>
      <w:r>
        <w:rPr>
          <w:rFonts w:hint="eastAsia" w:ascii="黑体" w:hAnsi="黑体" w:eastAsia="黑体" w:cs="仿宋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</w:rPr>
      </w:pPr>
      <w:r>
        <w:rPr>
          <w:rFonts w:hint="eastAsia" w:ascii="方正小标宋简体" w:hAnsi="仿宋" w:eastAsia="方正小标宋简体" w:cs="仿宋"/>
          <w:sz w:val="44"/>
          <w:szCs w:val="44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lang w:eastAsia="zh-CN"/>
        </w:rPr>
        <w:t>抽检依据和</w:t>
      </w:r>
      <w:r>
        <w:rPr>
          <w:rFonts w:hint="eastAsia" w:ascii="方正小标宋简体" w:hAnsi="仿宋" w:eastAsia="方正小标宋简体" w:cs="仿宋"/>
          <w:sz w:val="44"/>
          <w:szCs w:val="44"/>
        </w:rPr>
        <w:t>检验项目</w:t>
      </w:r>
    </w:p>
    <w:p>
      <w:pPr>
        <w:shd w:val="clear" w:color="auto" w:fill="FFFFFF"/>
        <w:spacing w:line="590" w:lineRule="exact"/>
        <w:rPr>
          <w:rFonts w:hint="eastAsia" w:ascii="仿宋" w:hAnsi="仿宋"/>
        </w:rPr>
      </w:pP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lang w:eastAsia="zh-CN"/>
        </w:rPr>
        <w:t>一、</w:t>
      </w:r>
      <w:r>
        <w:rPr>
          <w:rFonts w:hint="eastAsia" w:eastAsia="黑体"/>
          <w:color w:val="000000"/>
          <w:sz w:val="32"/>
          <w:szCs w:val="32"/>
        </w:rPr>
        <w:t>食用油、油脂及其制品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植物油》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2716-2018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1.菜籽油、大豆油、芝麻油抽检项目包括苯并[a]芘、过氧化值、铅(以Pb计)、溶剂残留量、酸值(KOH)、总砷(以As计)。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2.花生油、玉米油抽检项目包括苯并[a]芘、过氧化值、黄曲霉毒素B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、铅(以Pb计)、溶剂残留量、酸价(KOH)、总砷(以As计)。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3.其他食用植物油(半精炼、全精炼)抽检项目包括苯并[a]芘、过氧化值、黄曲霉毒素B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、铅(以Pb计)、溶剂残留量、酸价(KOH)、总砷(以As计)。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4.食用植物调和油抽检项目包括苯并[a]芘、过氧化值、铅(以Pb计)、溶剂残留量、酸价(KOH)、总砷(以As计)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lang w:eastAsia="zh-CN"/>
        </w:rPr>
        <w:t>二、肉制品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腌腊肉制品》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2730-2015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熟肉制品》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2726-2016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、整顿办函[2011]1号《食品中可能违法添加的非食用物质和易滥用的食品添加剂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等标准及产品明示标准和指标的要求。</w:t>
      </w:r>
    </w:p>
    <w:p>
      <w:pPr>
        <w:shd w:val="clear" w:color="auto" w:fill="auto"/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6"/>
        <w:shd w:val="clear" w:color="auto" w:fill="auto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1.调理肉制品抽检项目包括铅（以Pb计）、氯霉素。</w:t>
      </w:r>
    </w:p>
    <w:p>
      <w:pPr>
        <w:pStyle w:val="6"/>
        <w:shd w:val="clear" w:color="auto" w:fill="auto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酱卤肉制品抽检项目包括铅（以Pb计）、镉（以Cd计）、铬（以Cr计）、总砷（以As计）、氯霉素、酸性橙Ⅱ、亚硝酸盐（以亚硝酸钠计）、苯甲酸及其钠盐（以苯甲酸计）、山梨酸及其钾盐（以山梨酸计）、脱氢乙酸及其钠盐（以脱氢乙酸计）、防腐剂混合使用时各自用量占其最大使用量的比例之和、胭脂红、糖精钠（以糖精计）、菌落总数、大肠菌群、沙门氏菌、金黄色葡萄球菌、单核细胞增生李斯特氏菌、大肠埃希氏菌O157:H7、商业无菌。</w:t>
      </w:r>
    </w:p>
    <w:p>
      <w:pPr>
        <w:pStyle w:val="6"/>
        <w:shd w:val="clear" w:color="auto" w:fill="auto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腌腊肉制品抽检项目包括三甲胺氮、过氧化值（以脂肪计）、铅（以Pb计）、铬（以Cr计）、总砷（以As计）、N-二甲基亚硝胺、氯霉素、亚硝酸盐（以亚硝酸钠计）、苯甲酸及其钠盐（以苯甲酸计）、山梨酸及其钾盐（以山梨酸计）、脱氢乙酸及其钠盐（以脱氢乙酸计）、防腐剂混合使用时各自用量占其最大使用量的比例之和、胭脂红、糖精钠（以糖精计）。</w:t>
      </w:r>
    </w:p>
    <w:p>
      <w:pPr>
        <w:pStyle w:val="6"/>
        <w:shd w:val="clear" w:color="auto" w:fill="auto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4.熏烧烤肉制品抽检项目包括亚硝酸盐（以亚硝酸钠计）、菌落总数、大肠菌群、沙门氏菌、金黄色葡萄球菌、单核细胞增生李斯特氏菌、大肠埃希氏菌O157:H7。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lang w:eastAsia="zh-CN"/>
        </w:rPr>
        <w:t>三、饮料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食品中致病菌限量》（GB 29921-2013）等标准及产品明示标准和指标的要求。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1.饮用天然矿泉水抽检项目包括界限指标、镍、锑、溴酸盐、硝酸盐（以NO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计）、大肠菌群、粪链球菌、产气荚膜梭菌、铜绿假单胞菌。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2.饮用纯净水抽检项目包括耗氧量（以O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计）、三氯甲烷、溴酸盐、大肠菌群、铜绿假单胞菌。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3.其他饮用水抽检项目包括耗氧量（以O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计）、三氯甲烷、溴酸盐、大肠菌群、铜绿假单胞菌。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四、方便食品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食品添加剂使用标准》（GB 2760-2014）、《食品安全国家标准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食品中真菌毒素限量》（GB 2761-2017）、《食品安全国家标准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食品中致病菌限量》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29921-2013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其他方便食品抽检项目包括黄曲霉毒素B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、苯甲酸及其钠盐（以苯甲酸计）、山梨酸及其钾盐（以山梨酸计）、糖精钠（以糖精计）、菌落总数、大肠菌群、霉菌、沙门氏菌、金黄色葡萄球菌。</w:t>
      </w:r>
    </w:p>
    <w:p>
      <w:pPr>
        <w:pStyle w:val="7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auto"/>
          <w:sz w:val="32"/>
          <w:szCs w:val="32"/>
          <w:highlight w:val="none"/>
        </w:rPr>
      </w:pP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五、</w:t>
      </w:r>
      <w:r>
        <w:rPr>
          <w:rFonts w:hint="eastAsia" w:eastAsia="黑体" w:cs="Times New Roman"/>
          <w:sz w:val="32"/>
          <w:szCs w:val="32"/>
          <w:lang w:eastAsia="zh-CN"/>
        </w:rPr>
        <w:t>酒类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1.白酒抽检项目包括酒精度、铅（以Pb计）、甲醇、氰化物（以HCN计）、糖精钠（以糖精计）、甜蜜素（以环己基氨基磺酸计）、三氯蔗糖。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2.果酒抽检项目包括酒精度、铅（以Pb计）、糖精钠（以糖精计）。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3.黄酒抽检项目包括酒精度、铅（以Pb计）、苯甲酸及其钠盐（以苯甲酸计）、山梨酸及其钾盐（以山梨酸计）、糖精钠（以糖精计）、甜蜜素（以环己基氨基磺酸计）。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4.以蒸馏酒及食用酒精为酒基的配制酒抽检项目包括酒精度、铅（以Pb计）、甲醇、氰化物（以HCN计）、糖精钠（以糖精计）、甜蜜素(以环己基氨基磺酸计）。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5.以发酵酒为酒基的配制酒抽检项目包括酒精度、铅（以Pb计）、苯甲酸及其钠盐（以苯甲酸计）、山梨酸及其钾盐（以山梨酸计）、糖精钠（以糖精计）、甜蜜素（以环己基氨基磺酸计）。</w:t>
      </w:r>
    </w:p>
    <w:p>
      <w:pPr>
        <w:pStyle w:val="7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auto"/>
          <w:sz w:val="32"/>
          <w:szCs w:val="32"/>
          <w:highlight w:val="none"/>
        </w:rPr>
      </w:pP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六、</w:t>
      </w:r>
      <w:r>
        <w:rPr>
          <w:rFonts w:hint="eastAsia" w:eastAsia="黑体" w:cs="Times New Roman"/>
          <w:sz w:val="32"/>
          <w:szCs w:val="32"/>
          <w:highlight w:val="none"/>
          <w:lang w:eastAsia="zh-CN"/>
        </w:rPr>
        <w:t>水产制品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食品中致病菌限量》（GB 29921-2013）、《食品安全国家标准 动物性水产制品》（GB 10136-2015）。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1.预制动物性水产干制品抽检项目包括镉（以Cd计）、N-二甲基亚硝胺、苯甲酸及其钠盐（以苯甲酸计）、山梨酸及其钾盐（以山梨酸计）、二氧化硫残留量。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2.预制鱼糜制品抽检项目包括挥发性盐基氮、N-二甲基亚硝胺、苯甲酸及其钠盐（以苯甲酸计）、山梨酸及其钾盐（以山梨酸计）。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3.熟制动物性水产制品抽检项目包括N-二甲基亚硝胺、山梨酸及其钾盐（以山梨酸计）、沙门氏菌、金黄色葡萄球菌、副溶血性弧菌。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生食动物性水产品抽检项目包括挥发性盐基氮、镉（以Cd计）、N-二甲基亚硝胺、苯并[a]芘、苯甲酸及其钠盐（以苯甲酸计）、山梨酸及其钾盐（以山梨酸计）、铝的残留量（以即食海蜇中Al计）、菌落总数、大肠菌群、沙门氏菌、金黄色葡萄球菌、副溶血性弧菌、吸虫囊蚴、线虫幼虫、绦虫裂头蚴。</w:t>
      </w:r>
    </w:p>
    <w:p>
      <w:pPr>
        <w:pStyle w:val="7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auto"/>
          <w:sz w:val="32"/>
          <w:szCs w:val="32"/>
          <w:highlight w:val="none"/>
        </w:rPr>
      </w:pP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七、</w:t>
      </w:r>
      <w:r>
        <w:rPr>
          <w:rFonts w:hint="eastAsia" w:eastAsia="黑体" w:cs="Times New Roman"/>
          <w:sz w:val="32"/>
          <w:szCs w:val="32"/>
          <w:highlight w:val="none"/>
          <w:lang w:eastAsia="zh-CN"/>
        </w:rPr>
        <w:t>糕点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糕点、面包》（GB 7099-2015）、《食品安全国家标准 食品中致病菌限量》（GB 29921-2013）。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糕点检验项目包括酸价（以脂肪计）、过氧化值（以脂肪计）、铅（以Pb计）、苯甲酸及其钠盐（以苯甲酸计）、山梨酸及其钾盐（以山梨酸计）、糖精钠（以糖精计）、甜蜜素（以环己基氨基磺酸计）、铝的残留量（干样品，以A1计）、脱氢乙酸及其钠盐（以脱氢乙酸计）、三氯蔗糖、防腐剂混合使用时各自用量占其最大使用量的比例之和、菌落总数、大肠菌群、金黄色葡萄球菌、沙门氏菌、霉菌。</w:t>
      </w:r>
    </w:p>
    <w:p>
      <w:pPr>
        <w:pStyle w:val="7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auto"/>
          <w:sz w:val="32"/>
          <w:szCs w:val="32"/>
          <w:highlight w:val="none"/>
        </w:rPr>
      </w:pP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八、</w:t>
      </w:r>
      <w:r>
        <w:rPr>
          <w:rFonts w:hint="eastAsia" w:eastAsia="黑体" w:cs="Times New Roman"/>
          <w:sz w:val="32"/>
          <w:szCs w:val="32"/>
          <w:highlight w:val="none"/>
          <w:lang w:eastAsia="zh-CN"/>
        </w:rPr>
        <w:t>豆制品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食品中致病菌限量》（GB 29921-2013）。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豆干、豆腐、豆皮等抽检项目包括铅（以Pb计）、苯甲酸及其钠盐（以苯甲酸计）、山梨酸及其钾盐（以山梨酸计）、脱氢乙酸及其钠盐（以脱氢乙酸计）、丙酸及其钠盐、钙盐（以丙酸计）、防腐剂混合使用时各自用量占其最大使用量的比例之和、糖精钠（以糖精计）、三氯蔗糖、大肠菌群、沙门氏菌、金黄色葡萄球菌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腐竹、油皮抽检项目包括铅（以Pb计）、苯甲酸及其钠盐（以苯甲酸计）、山梨酸及其钾盐（以山梨酸计）、脱氢乙酸及其钠盐(以脱氢乙酸计）、糖精钠（以糖精计）、二氧化硫残留量、大肠菌群、沙门氏菌、金黄色葡萄球菌。</w:t>
      </w:r>
    </w:p>
    <w:p>
      <w:pPr>
        <w:pStyle w:val="7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九、食用农产品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抽检依据是《食品安全国家标准 鲜(冻)畜、禽产品》（GB 2707-2016）、《食品安全国家标准 食品添加剂使用标准》（GB 2760-2014）、《食品安全国家标准 食品中污染物限量》（GB 2762-2017）、《食品安全国家标准 食品中百草枯等43种农药最大残留限量》（GB 2763.1-2018）、《食品安全国家标准 食品中农药最大残留限量》（GB 2763-2016）、农业部公告第2292号《发布在食品动物中停止使用洛美沙星、培氟沙星、氧氟沙星、诺氟沙星4种兽药的决定》、农业部公告第235号《动物性食品中兽药最高残留限量》、农业部公告第560号《兽药地方标准废止目录》、整顿办函[2010]50号《食品中可能违法添加的非食用物质和易滥用的食品添加剂品种名单(第四批)》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1.鸡肉抽检项目包括恩诺沙星(以恩诺沙星与环丙沙星之和计)、呋喃西林代谢物、呋喃唑酮代谢物、氟苯尼考、挥发性盐基氮、甲硝唑、金刚烷胺、氯霉素、五氯酚酸钠(以五氯酚计)、氧氟沙星。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2.鸭肉抽检项目包括恩诺沙星(以恩诺沙星与环丙沙星之和计)、呋喃西林代谢物、呋喃唑酮代谢物、氟苯尼考、甲硝唑、金刚烷胺、氯霉素、五氯酚酸钠（以五氯酚计）、氧氟沙星。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3.羊肉抽检项目包括克伦特罗、沙丁胺醇、莱克多巴胺、磺胺类(总量)、五氯酚酸钠（以五氯酚计）、氯霉素。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4.猪肉抽检项目包括恩诺沙星(以恩诺沙星与环丙沙星之和计)、磺胺类(总量)、挥发性盐基氮、克伦特罗、喹乙醇代谢物、莱克多巴胺、氯霉素、沙丁胺醇、五氯酚酸钠（以五氯酚计）。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5.猪肝、猪肾抽检项目包括磺胺类(总量)、克伦特罗、莱克多巴胺、氯霉素、沙丁胺醇、五氯酚酸钠（以五氯酚计）。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6.豆芽抽检项目包括铅（以Pb计）、镉（以Cd计）、铬（以Cr计）、亚硫酸盐（以SO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计）、6-苄基腺嘌呤（6-BA）、4-氯苯氧乙酸钠。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7.菠菜抽检项目包括铅（以Pb计）、镉（以Cd计）、毒死蜱、氧乐果、氟虫腈、克百威、阿维菌素、甲拌磷、水胺硫磷。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8.油麦菜抽检项目包括铅（以Pb计）、镉（以Cd计）、氟虫腈、甲胺磷、灭多威、氧乐果、乙酰甲胺磷、甲拌磷、克百威。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9.草莓抽检项目包括铅（以Pb计）、辛硫磷、联苯菊酯、腐霉利、氟虫腈、草甘膦、溴氰菊酯、多菌灵、烯酰吗啉。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10.柑、橘抽检项目包括铅（以Pb计）、氟虫腈、溴氰菊酯、联苯菊酯、克百威、毒死蜱、丙溴磷、氧乐果、水胺硫磷、苯醚甲环唑、三唑磷。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AB6E46"/>
    <w:rsid w:val="26153BC5"/>
    <w:rsid w:val="31AB6E46"/>
    <w:rsid w:val="5D0570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styleId="4">
    <w:name w:val="page number"/>
    <w:basedOn w:val="3"/>
    <w:uiPriority w:val="0"/>
    <w:rPr>
      <w:rFonts w:ascii="Times New Roman" w:hAnsi="Times New Roman" w:eastAsia="宋体" w:cs="Times New Roman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hint="eastAsia" w:ascii="MS Mincho" w:hAnsi="MS Mincho" w:eastAsia="MS Mincho"/>
      <w:color w:val="000000"/>
      <w:sz w:val="24"/>
      <w:szCs w:val="22"/>
      <w:lang w:val="en-US" w:eastAsia="zh-CN" w:bidi="ar-SA"/>
    </w:rPr>
  </w:style>
  <w:style w:type="paragraph" w:customStyle="1" w:styleId="7">
    <w:name w:val="List Paragraph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2020-02-28T08:45:00Z</dcterms:created>
  <dc:creator>罗钰珊</dc:creator>
  <cp:lastModifiedBy>罗钰珊</cp:lastModifiedBy>
  <dcterms:modified xsi:type="dcterms:W3CDTF">2020-02-28T08:46:08Z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