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ascii="Times New Roman" w:hAnsi="Times New Roman"/>
        </w:rPr>
      </w:pPr>
      <w:bookmarkStart w:id="0" w:name="_GoBack"/>
      <w:bookmarkEnd w:id="0"/>
      <w:r>
        <w:rPr>
          <w:rFonts w:hint="eastAsia" w:ascii="Times New Roman" w:hAnsi="Times New Roman" w:eastAsia="黑体" w:cs="仿宋"/>
        </w:rPr>
        <w:t>附件16</w:t>
      </w:r>
    </w:p>
    <w:p>
      <w:pPr>
        <w:widowControl/>
        <w:shd w:val="clear" w:color="auto" w:fill="FFFFFF"/>
        <w:snapToGrid w:val="0"/>
        <w:spacing w:line="590" w:lineRule="exact"/>
        <w:jc w:val="center"/>
        <w:rPr>
          <w:rFonts w:hint="eastAsia" w:ascii="Times New Roman" w:hAnsi="Times New Roman" w:eastAsia="方正小标宋简体" w:cs="仿宋"/>
          <w:sz w:val="44"/>
          <w:szCs w:val="44"/>
        </w:rPr>
      </w:pPr>
      <w:r>
        <w:rPr>
          <w:rFonts w:hint="eastAsia" w:ascii="Times New Roman" w:hAnsi="Times New Roman" w:eastAsia="方正小标宋简体" w:cs="仿宋"/>
          <w:sz w:val="44"/>
          <w:szCs w:val="44"/>
        </w:rPr>
        <w:t>关于部分抽检项目的说明</w:t>
      </w:r>
    </w:p>
    <w:p>
      <w:pPr>
        <w:widowControl/>
        <w:shd w:val="clear" w:color="auto" w:fill="FFFFFF"/>
        <w:snapToGrid w:val="0"/>
        <w:spacing w:line="590" w:lineRule="exact"/>
        <w:rPr>
          <w:rFonts w:hint="eastAsia" w:ascii="Times New Roman" w:hAnsi="Times New Roman" w:eastAsia="仿宋_GB2312"/>
        </w:rPr>
      </w:pP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黑体"/>
        </w:rPr>
      </w:pPr>
      <w:r>
        <w:rPr>
          <w:rFonts w:hint="eastAsia" w:ascii="Times New Roman" w:hAnsi="Times New Roman" w:eastAsia="黑体"/>
        </w:rPr>
        <w:t>一</w:t>
      </w:r>
      <w:r>
        <w:rPr>
          <w:rFonts w:ascii="Times New Roman" w:hAnsi="Times New Roman" w:eastAsia="黑体"/>
        </w:rPr>
        <w:t>、</w:t>
      </w:r>
      <w:r>
        <w:rPr>
          <w:rFonts w:hint="eastAsia" w:ascii="Times New Roman" w:hAnsi="Times New Roman" w:eastAsia="黑体"/>
        </w:rPr>
        <w:t>恩诺沙星</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rPr>
      </w:pPr>
      <w:r>
        <w:rPr>
          <w:rFonts w:hint="eastAsia" w:ascii="Times New Roman" w:hAnsi="Times New Roman" w:eastAsia="仿宋_GB2312"/>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w:t>
      </w:r>
      <w:r>
        <w:rPr>
          <w:rFonts w:hint="eastAsia"/>
          <w:lang w:val="en-US" w:eastAsia="zh-CN"/>
        </w:rPr>
        <w:t>-</w:t>
      </w:r>
      <w:r>
        <w:rPr>
          <w:rFonts w:hint="eastAsia" w:ascii="Times New Roman" w:hAnsi="Times New Roman" w:eastAsia="仿宋_GB2312"/>
        </w:rPr>
        <w:t>2019）中规定，恩诺沙星（以恩诺沙星和环丙沙星之和计）可用于牛、羊、猪、兔、禽等食用畜禽及其他动物，在牛、禽和其他动物的肌肉中的最大残留限量值为100μg/kg。恩诺沙星超标，可能是养殖户在养殖过程中违规使用相关兽药。</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黑体"/>
        </w:rPr>
      </w:pPr>
      <w:r>
        <w:rPr>
          <w:rFonts w:hint="eastAsia" w:ascii="Times New Roman" w:hAnsi="Times New Roman" w:eastAsia="黑体"/>
        </w:rPr>
        <w:t>二</w:t>
      </w:r>
      <w:r>
        <w:rPr>
          <w:rFonts w:ascii="Times New Roman" w:hAnsi="Times New Roman" w:eastAsia="黑体"/>
        </w:rPr>
        <w:t>、</w:t>
      </w:r>
      <w:r>
        <w:rPr>
          <w:rFonts w:hint="eastAsia" w:ascii="Times New Roman" w:hAnsi="Times New Roman" w:eastAsia="黑体"/>
        </w:rPr>
        <w:t>噻虫胺</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rPr>
      </w:pPr>
      <w:r>
        <w:rPr>
          <w:rFonts w:hint="eastAsia" w:ascii="Times New Roman" w:hAnsi="Times New Roman" w:eastAsia="仿宋_GB2312"/>
          <w:szCs w:val="32"/>
        </w:rPr>
        <w:t>噻虫胺属新烟碱类杀虫剂，具有内吸性、触杀和胃毒作用，对姜蛆等有较好防效。少量的残留不会引起人体急性中毒，但长期食用噻虫胺超标的食品，对人体健康可能有一定影响。《食品安全国家标准 食品中农药最大残留限量》（GB 2763-2021）中规定，</w:t>
      </w:r>
      <w:r>
        <w:rPr>
          <w:rFonts w:hint="eastAsia" w:ascii="Times New Roman" w:hAnsi="Times New Roman" w:eastAsia="仿宋_GB2312"/>
          <w:spacing w:val="6"/>
          <w:sz w:val="32"/>
          <w:szCs w:val="32"/>
        </w:rPr>
        <w:t>噻虫胺在根茎类蔬菜中的最大残留限量值为0.2mg/kg。蔬菜中噻虫胺残留量超标的原因，可能是为快速控制虫害，加大用药量或未遵守采摘间隔期规定，致使上市销售的产品中残留量超标</w:t>
      </w:r>
      <w:r>
        <w:rPr>
          <w:rFonts w:hint="eastAsia" w:ascii="Times New Roman" w:hAnsi="Times New Roman" w:eastAsia="仿宋_GB2312"/>
          <w:spacing w:val="6"/>
          <w:sz w:val="32"/>
        </w:rPr>
        <w:t>。</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ascii="Times New Roman" w:hAnsi="Times New Roman" w:eastAsia="黑体"/>
        </w:rPr>
      </w:pPr>
      <w:r>
        <w:rPr>
          <w:rFonts w:hint="eastAsia" w:ascii="Times New Roman" w:hAnsi="Times New Roman" w:eastAsia="黑体"/>
        </w:rPr>
        <w:t>三</w:t>
      </w:r>
      <w:r>
        <w:rPr>
          <w:rFonts w:ascii="Times New Roman" w:hAnsi="Times New Roman" w:eastAsia="黑体"/>
        </w:rPr>
        <w:t>、</w:t>
      </w:r>
      <w:r>
        <w:rPr>
          <w:rFonts w:hint="eastAsia" w:ascii="Times New Roman" w:hAnsi="Times New Roman" w:eastAsia="黑体"/>
        </w:rPr>
        <w:t>镉（以Cd计）</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rPr>
      </w:pPr>
      <w:r>
        <w:rPr>
          <w:rFonts w:hint="eastAsia" w:ascii="Times New Roman" w:hAnsi="Times New Roman" w:eastAsia="仿宋_GB2312"/>
        </w:rPr>
        <w:t>镉是一种蓄积性的重金属元素，可通过食物链进入人体。长期食用镉超标的食品，可能会对人体肾脏和肝脏造成损害，还会影响免疫系统，甚至可能对儿童高级神经活动有损害。《食品安全国家标准 食品中污染物限量》（GB 2762-2017）中规定，镉在鲜、冻水产动物的甲壳类中限量为0.5mg/kg。镉（以Cd计）检测值超标的原因，可能是其生长过程中富集环境中的镉元素。</w:t>
      </w:r>
    </w:p>
    <w:p>
      <w:pPr>
        <w:keepNext w:val="0"/>
        <w:keepLines w:val="0"/>
        <w:pageBreakBefore w:val="0"/>
        <w:kinsoku/>
        <w:wordWrap/>
        <w:overflowPunct/>
        <w:topLinePunct w:val="0"/>
        <w:autoSpaceDE/>
        <w:autoSpaceDN/>
        <w:bidi w:val="0"/>
        <w:adjustRightInd/>
        <w:spacing w:line="590" w:lineRule="exact"/>
        <w:ind w:firstLine="640" w:firstLineChars="200"/>
        <w:textAlignment w:val="auto"/>
        <w:outlineLvl w:val="0"/>
        <w:rPr>
          <w:rFonts w:hint="eastAsia" w:ascii="Times New Roman" w:hAnsi="Times New Roman" w:eastAsia="黑体"/>
          <w:bCs/>
          <w:kern w:val="0"/>
          <w:szCs w:val="32"/>
        </w:rPr>
      </w:pPr>
      <w:r>
        <w:rPr>
          <w:rFonts w:hint="eastAsia" w:ascii="Times New Roman" w:hAnsi="Times New Roman" w:eastAsia="黑体"/>
          <w:bCs/>
          <w:kern w:val="0"/>
          <w:szCs w:val="32"/>
        </w:rPr>
        <w:t>四、甲氨基阿维菌素苯甲酸盐</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ascii="Times New Roman" w:hAnsi="Times New Roman" w:eastAsia="仿宋_GB2312"/>
          <w:bCs/>
          <w:kern w:val="0"/>
          <w:szCs w:val="32"/>
        </w:rPr>
      </w:pPr>
      <w:r>
        <w:rPr>
          <w:rFonts w:ascii="Times New Roman" w:hAnsi="Times New Roman" w:eastAsia="仿宋_GB2312"/>
          <w:bCs/>
          <w:kern w:val="0"/>
          <w:szCs w:val="32"/>
        </w:rPr>
        <w:t>甲氨基阿维菌素苯甲酸盐是一种大环内酯类杀虫剂，具有触杀、胃毒和组织渗透作用，对豇豆中蓟马、豆荚螟等有较好防治效果。少量的残留不会引起人体急性中毒，但长期食用甲氨基阿维菌素苯甲酸盐超标的食品，对人体健康可能有一定影响。《食品安全国家标准 食品中农药最大残留限量》（GB 2763</w:t>
      </w:r>
      <w:r>
        <w:rPr>
          <w:rFonts w:hint="eastAsia"/>
          <w:bCs/>
          <w:kern w:val="0"/>
          <w:szCs w:val="32"/>
          <w:lang w:val="en-US" w:eastAsia="zh-CN"/>
        </w:rPr>
        <w:t>-</w:t>
      </w:r>
      <w:r>
        <w:rPr>
          <w:rFonts w:ascii="Times New Roman" w:hAnsi="Times New Roman" w:eastAsia="仿宋_GB2312"/>
          <w:bCs/>
          <w:kern w:val="0"/>
          <w:szCs w:val="32"/>
        </w:rPr>
        <w:t>2021）中规定，甲氨基阿维菌素苯甲酸盐在豆类蔬菜（菜豆、菜用大豆除外）中的最大残留限量值为0.015mg/kg。豇豆中甲氨基阿维菌素苯甲酸盐残留量超标的原因，可能是为快速控制虫害，加大用药量或未遵守采摘间隔期规定，致使上市销售的产品中残留量超标。</w:t>
      </w:r>
    </w:p>
    <w:p>
      <w:pPr>
        <w:keepNext w:val="0"/>
        <w:keepLines w:val="0"/>
        <w:pageBreakBefore w:val="0"/>
        <w:kinsoku/>
        <w:wordWrap/>
        <w:overflowPunct/>
        <w:topLinePunct w:val="0"/>
        <w:autoSpaceDE/>
        <w:autoSpaceDN/>
        <w:bidi w:val="0"/>
        <w:adjustRightInd/>
        <w:spacing w:line="590" w:lineRule="exact"/>
        <w:ind w:firstLine="640" w:firstLineChars="200"/>
        <w:textAlignment w:val="auto"/>
        <w:outlineLvl w:val="0"/>
        <w:rPr>
          <w:rFonts w:ascii="Times New Roman" w:hAnsi="Times New Roman" w:eastAsia="黑体"/>
          <w:bCs/>
          <w:kern w:val="0"/>
          <w:szCs w:val="32"/>
        </w:rPr>
      </w:pPr>
      <w:r>
        <w:rPr>
          <w:rFonts w:hint="eastAsia" w:ascii="Times New Roman" w:hAnsi="Times New Roman" w:eastAsia="黑体" w:cs="黑体"/>
          <w:bCs/>
          <w:kern w:val="0"/>
          <w:szCs w:val="32"/>
          <w:lang w:bidi="ar"/>
        </w:rPr>
        <w:t>五、过氧化值</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ascii="Times New Roman" w:hAnsi="Times New Roman"/>
          <w:bCs/>
          <w:kern w:val="0"/>
          <w:szCs w:val="32"/>
        </w:rPr>
      </w:pPr>
      <w:r>
        <w:rPr>
          <w:rFonts w:hint="eastAsia" w:ascii="Times New Roman" w:hAnsi="Times New Roman" w:eastAsia="仿宋_GB2312" w:cs="仿宋_GB2312"/>
          <w:bCs/>
          <w:kern w:val="0"/>
          <w:szCs w:val="32"/>
          <w:lang w:bidi="ar"/>
        </w:rPr>
        <w:t>过氧化值是衡量含油脂食品氧化酸败程度的重要卫生指标，过氧化值超标的原因可能是油脂原料保存不当、存放过久导致原料中的油脂发生氧化或生产过程中操作工艺控制不当，加工温度过高，持续时间久，导致含有的油脂加速氧化；也可能是产品包装不符合要求，受温度、湿度、空气、光线等影响促使油脂氧化加速，导致产品过氧化值超标。</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仿宋_GB2312"/>
          <w:bCs/>
          <w:szCs w:val="32"/>
          <w:lang w:bidi="ar"/>
        </w:rPr>
      </w:pPr>
      <w:r>
        <w:rPr>
          <w:rFonts w:hint="eastAsia" w:ascii="Times New Roman" w:hAnsi="Times New Roman" w:eastAsia="仿宋_GB2312"/>
          <w:bCs/>
          <w:szCs w:val="32"/>
          <w:lang w:bidi="ar"/>
        </w:rPr>
        <w:t>油脂的氧化分解会使油脂分解产生脂肪酸、醛类和酮类等物质，不仅使产品的色、香、味发生改变，而且氧化产物如醛、酮等具有一定的毒性，会影响人体健康。</w:t>
      </w:r>
    </w:p>
    <w:p>
      <w:pPr>
        <w:keepNext w:val="0"/>
        <w:keepLines w:val="0"/>
        <w:pageBreakBefore w:val="0"/>
        <w:kinsoku/>
        <w:wordWrap/>
        <w:overflowPunct/>
        <w:topLinePunct w:val="0"/>
        <w:autoSpaceDE/>
        <w:autoSpaceDN/>
        <w:bidi w:val="0"/>
        <w:adjustRightInd/>
        <w:spacing w:line="590" w:lineRule="exact"/>
        <w:ind w:firstLine="640" w:firstLineChars="200"/>
        <w:textAlignment w:val="auto"/>
        <w:outlineLvl w:val="0"/>
        <w:rPr>
          <w:rFonts w:ascii="Times New Roman" w:hAnsi="Times New Roman" w:eastAsia="黑体"/>
          <w:bCs/>
          <w:kern w:val="0"/>
          <w:szCs w:val="32"/>
        </w:rPr>
      </w:pPr>
      <w:r>
        <w:rPr>
          <w:rFonts w:hint="eastAsia" w:ascii="Times New Roman" w:hAnsi="Times New Roman" w:eastAsia="黑体" w:cs="黑体"/>
          <w:bCs/>
          <w:kern w:val="0"/>
          <w:szCs w:val="32"/>
          <w:lang w:bidi="ar"/>
        </w:rPr>
        <w:t>六、水胺硫磷</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仿宋_GB2312" w:cs="仿宋_GB2312"/>
          <w:bCs/>
          <w:kern w:val="0"/>
          <w:szCs w:val="32"/>
          <w:lang w:bidi="ar"/>
        </w:rPr>
      </w:pPr>
      <w:r>
        <w:rPr>
          <w:rFonts w:hint="eastAsia" w:ascii="Times New Roman" w:hAnsi="Times New Roman" w:eastAsia="仿宋_GB2312" w:cs="仿宋_GB2312"/>
          <w:bCs/>
          <w:kern w:val="0"/>
          <w:szCs w:val="32"/>
          <w:lang w:bidi="ar"/>
        </w:rPr>
        <w:t>水胺硫磷是一种广谱、高效、高毒性、低残留的硫代磷酰胺类杀虫剂，兼具胃毒和杀卵作用，主要用于防治果树、水稻和棉花害虫。少量的残留不会引起人体急性中毒，但长期食用水胺硫磷超标的食品，可能对人体健康有一定影响。《食品安全国家标准 食品中农药最大残留限量》（GB 2763</w:t>
      </w:r>
      <w:r>
        <w:rPr>
          <w:rFonts w:hint="eastAsia" w:cs="仿宋_GB2312"/>
          <w:bCs/>
          <w:kern w:val="0"/>
          <w:szCs w:val="32"/>
          <w:lang w:val="en-US" w:eastAsia="zh-CN" w:bidi="ar"/>
        </w:rPr>
        <w:t>-</w:t>
      </w:r>
      <w:r>
        <w:rPr>
          <w:rFonts w:hint="eastAsia" w:ascii="Times New Roman" w:hAnsi="Times New Roman" w:eastAsia="仿宋_GB2312" w:cs="仿宋_GB2312"/>
          <w:bCs/>
          <w:kern w:val="0"/>
          <w:szCs w:val="32"/>
          <w:lang w:bidi="ar"/>
        </w:rPr>
        <w:t>2021）中规定，水胺硫磷在鳞茎类蔬菜中的最大残留限量为0.05mg/kg。葱中水胺硫磷超标的原因，可能是为快速控制病情加大用药量或未遵守采摘间隔期规定，致使上市销售时产品中的药物残留量未降解至标准限量值以下。</w:t>
      </w:r>
    </w:p>
    <w:p>
      <w:pPr>
        <w:keepNext w:val="0"/>
        <w:keepLines w:val="0"/>
        <w:pageBreakBefore w:val="0"/>
        <w:kinsoku/>
        <w:wordWrap/>
        <w:overflowPunct/>
        <w:topLinePunct w:val="0"/>
        <w:autoSpaceDE/>
        <w:autoSpaceDN/>
        <w:bidi w:val="0"/>
        <w:adjustRightInd/>
        <w:spacing w:line="590" w:lineRule="exact"/>
        <w:ind w:firstLine="640" w:firstLineChars="200"/>
        <w:textAlignment w:val="auto"/>
        <w:outlineLvl w:val="0"/>
        <w:rPr>
          <w:rFonts w:ascii="Times New Roman" w:hAnsi="Times New Roman" w:eastAsia="黑体"/>
          <w:bCs/>
          <w:kern w:val="0"/>
          <w:szCs w:val="32"/>
        </w:rPr>
      </w:pPr>
      <w:r>
        <w:rPr>
          <w:rFonts w:hint="eastAsia" w:ascii="Times New Roman" w:hAnsi="Times New Roman" w:eastAsia="黑体" w:cs="黑体"/>
          <w:bCs/>
          <w:kern w:val="0"/>
          <w:szCs w:val="32"/>
          <w:lang w:bidi="ar"/>
        </w:rPr>
        <w:t>七、极性组分</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仿宋_GB2312" w:cs="仿宋_GB2312"/>
          <w:bCs/>
          <w:kern w:val="0"/>
          <w:szCs w:val="32"/>
          <w:lang w:bidi="ar"/>
        </w:rPr>
      </w:pPr>
      <w:r>
        <w:rPr>
          <w:rFonts w:hint="eastAsia" w:ascii="Times New Roman" w:hAnsi="Times New Roman" w:eastAsia="仿宋_GB2312" w:cs="仿宋_GB2312"/>
          <w:bCs/>
          <w:kern w:val="0"/>
          <w:szCs w:val="32"/>
          <w:lang w:bidi="ar"/>
        </w:rPr>
        <w:t>极性组分是衡量食用油在煎炸过程中质量变化的一项检测指标。餐饮环节煎炸过程使用的食用植物油在反复高温煎炸中会发生一系列的物理、化学变化，不仅使食物的营养价值下降，而且产生的一系列极性较大的成分，如丙烯酰胺、多环芳烃等，对人体酶系统具有严重破坏作用，极性组分是衡量油脂品质的重要指标。煎炸过程用油中极性组分不合格的原因，可能是反复使用煎炸用油，未及时更换导致。</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黑体"/>
          <w:bCs/>
          <w:kern w:val="0"/>
          <w:szCs w:val="32"/>
        </w:rPr>
      </w:pPr>
      <w:r>
        <w:rPr>
          <w:rFonts w:hint="eastAsia" w:ascii="Times New Roman" w:hAnsi="Times New Roman" w:eastAsia="黑体"/>
          <w:szCs w:val="32"/>
        </w:rPr>
        <w:t>八、</w:t>
      </w:r>
      <w:r>
        <w:rPr>
          <w:rFonts w:hint="eastAsia" w:ascii="Times New Roman" w:hAnsi="Times New Roman" w:eastAsia="黑体"/>
          <w:bCs/>
          <w:kern w:val="0"/>
          <w:szCs w:val="32"/>
        </w:rPr>
        <w:t>酸值（KOH）</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仿宋_GB2312"/>
          <w:kern w:val="0"/>
          <w:szCs w:val="32"/>
        </w:rPr>
      </w:pPr>
      <w:r>
        <w:rPr>
          <w:rFonts w:hint="eastAsia" w:ascii="Times New Roman" w:hAnsi="Times New Roman" w:eastAsia="仿宋_GB2312"/>
          <w:kern w:val="0"/>
          <w:szCs w:val="32"/>
        </w:rPr>
        <w:t> 酸价或称中和值、酸值、酸度，在脂肪生产的条件下，酸价可作为水解程度的指标，在其保藏的条件下，则可作为酸败的指标。酸价越小，说明油脂质量越好，新鲜度和精炼程度越好。</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仿宋_GB2312"/>
          <w:kern w:val="0"/>
          <w:szCs w:val="32"/>
        </w:rPr>
      </w:pPr>
      <w:r>
        <w:rPr>
          <w:rFonts w:hint="eastAsia" w:ascii="Times New Roman" w:hAnsi="Times New Roman" w:eastAsia="仿宋_GB2312"/>
          <w:kern w:val="0"/>
          <w:szCs w:val="32"/>
        </w:rPr>
        <w:t>酸价主要反映食品中的油脂酸败的程度。油脂酸败产生的醛酮类化合物长期摄入会对健康有一定影响，超标严重时所产生的醛、酮、酸会破坏脂溶性维生素，导致肠胃不适。一般情况下，消费者可以辨别出油脂酸败特有的哈喇等异味，需避免食用。造成酸价不合格的主要原因有：生产者原料采购上把关不严，购进的油脂质量不达标；生产者或是经销商产品储藏条件不当，特别是在环境温度较高时，易导致食品中油脂的氧化酸败。</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黑体"/>
          <w:bCs/>
          <w:kern w:val="0"/>
          <w:szCs w:val="32"/>
        </w:rPr>
      </w:pPr>
      <w:r>
        <w:rPr>
          <w:rFonts w:hint="eastAsia" w:ascii="Times New Roman" w:hAnsi="Times New Roman" w:eastAsia="黑体"/>
          <w:szCs w:val="32"/>
        </w:rPr>
        <w:t>九、</w:t>
      </w:r>
      <w:r>
        <w:rPr>
          <w:rFonts w:hint="eastAsia" w:ascii="Times New Roman" w:hAnsi="Times New Roman" w:eastAsia="黑体"/>
          <w:bCs/>
          <w:kern w:val="0"/>
          <w:szCs w:val="32"/>
        </w:rPr>
        <w:t>总砷</w:t>
      </w:r>
    </w:p>
    <w:p>
      <w:pPr>
        <w:ind w:firstLine="640" w:firstLineChars="200"/>
      </w:pPr>
      <w:r>
        <w:rPr>
          <w:rFonts w:hint="eastAsia" w:ascii="Times New Roman" w:hAnsi="Times New Roman" w:eastAsia="仿宋_GB2312"/>
          <w:kern w:val="0"/>
          <w:szCs w:val="32"/>
        </w:rPr>
        <w:t>砷是一种类金属元素，主要存在于土壤、空气和水中。食物中砷污染的主要来源于含砷农药、环境砷污染、含砷的原料等。食物中的砷以不同形态存在，包括无机砷以及有机砷</w:t>
      </w:r>
      <w:r>
        <w:rPr>
          <w:rFonts w:hint="eastAsia" w:ascii="Times New Roman" w:hAnsi="Times New Roman"/>
          <w:kern w:val="0"/>
          <w:szCs w:val="32"/>
          <w:lang w:eastAsia="zh-CN"/>
        </w:rPr>
        <w:t>，</w:t>
      </w:r>
      <w:r>
        <w:rPr>
          <w:rFonts w:hint="eastAsia" w:ascii="Times New Roman" w:hAnsi="Times New Roman" w:eastAsia="仿宋_GB2312"/>
          <w:kern w:val="0"/>
          <w:szCs w:val="32"/>
        </w:rPr>
        <w:t>合计为总砷。蔬菜制品中总砷不合格可能是原料生长过程中对环境中砷元素的富集。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237826F7"/>
    <w:rsid w:val="2378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2023-03-16T08:33:00Z</dcterms:created>
  <dc:creator>罗钰珊</dc:creator>
  <cp:lastModifiedBy>罗钰珊</cp:lastModifiedBy>
  <dcterms:modified xsi:type="dcterms:W3CDTF">2023-03-16T08:36:00Z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EE4A65D2AA4346B092D46DA264BC5ED8</vt:lpwstr>
  </property>
</Properties>
</file>