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w:t>
      </w:r>
      <w:r>
        <w:rPr>
          <w:rFonts w:hint="eastAsia" w:ascii="宋体" w:hAnsi="宋体" w:eastAsia="方正小标宋_GBK" w:cs="宋体"/>
          <w:color w:val="auto"/>
          <w:spacing w:val="-11"/>
          <w:sz w:val="44"/>
          <w:szCs w:val="44"/>
          <w:highlight w:val="none"/>
        </w:rPr>
        <w:t>合格检</w:t>
      </w:r>
      <w:r>
        <w:rPr>
          <w:rFonts w:hint="eastAsia" w:ascii="宋体" w:hAnsi="宋体" w:eastAsia="方正小标宋_GBK" w:cs="宋体"/>
          <w:color w:val="auto"/>
          <w:spacing w:val="-11"/>
          <w:sz w:val="44"/>
          <w:szCs w:val="44"/>
        </w:rPr>
        <w:t>验项目小知识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仿宋_GBK" w:cs="方正仿宋_GBK"/>
          <w:color w:val="0000FF"/>
          <w:spacing w:val="-11"/>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方正黑体_GBK" w:hAnsi="方正黑体_GBK" w:eastAsia="方正黑体_GBK" w:cs="方正黑体_GBK"/>
          <w:b w:val="0"/>
          <w:bCs w:val="0"/>
          <w:color w:val="auto"/>
          <w:spacing w:val="-11"/>
          <w:sz w:val="32"/>
          <w:szCs w:val="32"/>
          <w:lang w:val="en-US" w:eastAsia="zh-CN"/>
        </w:rPr>
      </w:pPr>
      <w:r>
        <w:rPr>
          <w:rFonts w:hint="eastAsia" w:ascii="方正黑体_GBK" w:hAnsi="方正黑体_GBK" w:eastAsia="方正黑体_GBK" w:cs="方正黑体_GBK"/>
          <w:b w:val="0"/>
          <w:bCs w:val="0"/>
          <w:color w:val="auto"/>
          <w:spacing w:val="-11"/>
          <w:sz w:val="32"/>
          <w:szCs w:val="32"/>
          <w:lang w:val="en-US" w:eastAsia="zh-CN"/>
        </w:rPr>
        <w:t>一、甲氨基阿维菌素苯甲酸盐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甲氨基阿维菌素苯甲酸盐是一种非内吸性杀虫剂，主要用于防治蔬菜、芸薹属植物、果树、玉米、茶树、葡萄和棉花中的鳞翅类害虫。食用食品一般不会导致甲氨基阿维菌素苯甲酸盐的急性中毒，但长期食用甲氨基阿维菌素苯甲酸盐超标的食品，对人体健康也有一定影响。《食品安全国家标准 食品中农药最大残留限量》（GB 2763—2021）中规定，甲氨基阿维菌素苯甲酸盐在豇豆中的最大残留限量值为0.015mg/kg。豇豆中甲氨基阿维菌素苯甲酸盐残留量超标的原因，可能是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方正黑体_GBK" w:hAnsi="方正黑体_GBK" w:eastAsia="方正黑体_GBK" w:cs="方正黑体_GBK"/>
          <w:color w:val="auto"/>
          <w:spacing w:val="-11"/>
          <w:sz w:val="32"/>
          <w:szCs w:val="32"/>
          <w:lang w:val="en-US" w:eastAsia="zh-CN"/>
        </w:rPr>
      </w:pPr>
      <w:r>
        <w:rPr>
          <w:rFonts w:hint="eastAsia" w:ascii="方正黑体_GBK" w:hAnsi="方正黑体_GBK" w:eastAsia="方正黑体_GBK" w:cs="方正黑体_GBK"/>
          <w:color w:val="auto"/>
          <w:spacing w:val="-11"/>
          <w:sz w:val="32"/>
          <w:szCs w:val="32"/>
          <w:lang w:val="en-US" w:eastAsia="zh-CN"/>
        </w:rPr>
        <w:t>二、吡唑醚菌酯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吡唑醚菌酯是具有保护、治疗和传导作用的杀菌剂。急性毒性分级为微毒级。对皮肤、眼睛和呼吸道等有刺激作用，无人体全身性中毒报道。食用食品一般不会导致吡唑醚菌酯的急性中毒，但长期食用吡唑醚菌酯超标的食品，对人体健康也有一定影响。《食品安全国家标准 食品中农药最大残留限量》（GB 2763—2021）中规定，吡唑醚菌酯在芒果中的最大残留限量为0.05mg/kg。吡唑醚菌酯残留超标的原因可能是农产品种植者为加强防病效果超量使用农药；也可能是种植户未严格按照农药安全间隔期，提前采收农作物。</w:t>
      </w:r>
    </w:p>
    <w:p>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方正黑体_GBK" w:hAnsi="方正黑体_GBK" w:eastAsia="方正黑体_GBK" w:cs="方正黑体_GBK"/>
          <w:color w:val="auto"/>
          <w:spacing w:val="-11"/>
          <w:sz w:val="32"/>
          <w:szCs w:val="32"/>
          <w:lang w:val="en-US" w:eastAsia="zh-CN"/>
        </w:rPr>
      </w:pPr>
      <w:r>
        <w:rPr>
          <w:rFonts w:hint="eastAsia" w:ascii="方正黑体_GBK" w:hAnsi="方正黑体_GBK" w:eastAsia="方正黑体_GBK" w:cs="方正黑体_GBK"/>
          <w:color w:val="auto"/>
          <w:spacing w:val="-11"/>
          <w:sz w:val="32"/>
          <w:szCs w:val="32"/>
          <w:lang w:val="en-US" w:eastAsia="zh-CN"/>
        </w:rPr>
        <w:t>三、地西泮</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地西泮又名安定，为苯二氮卓类镇静催眠药，临床上具有抗焦虑、镇静催眠、抗惊厥、抗癫痫及中枢性肌肉松弛作用。长期食用检出地西泮的食品，可能会引起嗜睡、头昏、乏力和记忆力下降等。《食品安全国家标准 食品中兽药最大残留限量》（GB 31650—2019）中规定，地西泮为允许作治疗用，但不得在动物性食品中检出的兽药。淡水鱼中检出地西泮的原因，可能是为降低新鲜活鱼对外界的感知能力，保证其经运输后仍然鲜活而违规使用。</w:t>
      </w:r>
    </w:p>
    <w:p>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方正黑体_GBK" w:hAnsi="方正黑体_GBK" w:eastAsia="方正黑体_GBK" w:cs="方正黑体_GBK"/>
          <w:color w:val="auto"/>
          <w:spacing w:val="-11"/>
          <w:sz w:val="32"/>
          <w:szCs w:val="32"/>
          <w:lang w:val="en-US" w:eastAsia="zh-CN"/>
        </w:rPr>
      </w:pPr>
      <w:r>
        <w:rPr>
          <w:rFonts w:hint="eastAsia" w:ascii="方正黑体_GBK" w:hAnsi="方正黑体_GBK" w:eastAsia="方正黑体_GBK" w:cs="方正黑体_GBK"/>
          <w:color w:val="auto"/>
          <w:spacing w:val="-11"/>
          <w:sz w:val="32"/>
          <w:szCs w:val="32"/>
          <w:lang w:val="en-US" w:eastAsia="zh-CN"/>
        </w:rPr>
        <w:t>四、过氧化值（以脂肪计）</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仿宋_GB2312"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过氧化值是油脂酸败的早期指标，主要反映油脂被氧化的程度。食用过氧化值超标的食品一般不会对人体健康造成损害，但长期食用过氧化值严重超标的食品可能导致肠胃不适、腹泻等。</w:t>
      </w:r>
      <w:r>
        <w:rPr>
          <w:rFonts w:hint="eastAsia" w:ascii="Times New Roman" w:hAnsi="Times New Roman" w:eastAsia="仿宋_GB2312"/>
          <w:sz w:val="32"/>
          <w:szCs w:val="32"/>
        </w:rPr>
        <w:t>《食品安全国家标准 腌腊肉制品》</w:t>
      </w:r>
      <w:r>
        <w:rPr>
          <w:rFonts w:hint="eastAsia" w:eastAsia="仿宋_GB2312"/>
          <w:sz w:val="32"/>
          <w:szCs w:val="32"/>
        </w:rPr>
        <w:t>（</w:t>
      </w:r>
      <w:r>
        <w:rPr>
          <w:rFonts w:hint="eastAsia" w:ascii="Times New Roman" w:hAnsi="Times New Roman" w:eastAsia="仿宋_GB2312"/>
          <w:sz w:val="32"/>
          <w:szCs w:val="32"/>
        </w:rPr>
        <w:t xml:space="preserve">GB </w:t>
      </w:r>
      <w:r>
        <w:rPr>
          <w:rFonts w:hint="eastAsia" w:ascii="Times New Roman" w:hAnsi="Times New Roman" w:eastAsia="仿宋_GB2312"/>
          <w:sz w:val="32"/>
          <w:szCs w:val="32"/>
          <w:lang w:val="en-US" w:eastAsia="zh-CN"/>
        </w:rPr>
        <w:t>2730</w:t>
      </w:r>
      <w:r>
        <w:rPr>
          <w:rFonts w:hint="eastAsia" w:eastAsia="仿宋_GB2312"/>
          <w:sz w:val="32"/>
          <w:szCs w:val="32"/>
        </w:rPr>
        <w:t>—</w:t>
      </w:r>
      <w:r>
        <w:rPr>
          <w:rFonts w:hint="eastAsia" w:ascii="Times New Roman" w:hAnsi="Times New Roman" w:eastAsia="仿宋_GB2312"/>
          <w:sz w:val="32"/>
          <w:szCs w:val="32"/>
        </w:rPr>
        <w:t>2015</w:t>
      </w:r>
      <w:r>
        <w:rPr>
          <w:rFonts w:hint="eastAsia" w:eastAsia="仿宋_GB2312"/>
          <w:sz w:val="32"/>
          <w:szCs w:val="32"/>
        </w:rPr>
        <w:t>）</w:t>
      </w:r>
      <w:r>
        <w:rPr>
          <w:rFonts w:hint="eastAsia" w:ascii="Times New Roman" w:hAnsi="Times New Roman" w:eastAsia="仿宋_GB2312"/>
          <w:sz w:val="32"/>
          <w:szCs w:val="32"/>
        </w:rPr>
        <w:t>中规定，</w:t>
      </w:r>
      <w:r>
        <w:rPr>
          <w:rFonts w:hint="eastAsia" w:ascii="Times New Roman" w:hAnsi="Times New Roman" w:eastAsia="仿宋_GB2312"/>
          <w:sz w:val="32"/>
          <w:szCs w:val="32"/>
          <w:lang w:val="en-US" w:eastAsia="zh-CN"/>
        </w:rPr>
        <w:t>腊肉</w:t>
      </w:r>
      <w:r>
        <w:rPr>
          <w:rFonts w:hint="eastAsia" w:ascii="Times New Roman" w:hAnsi="Times New Roman" w:eastAsia="仿宋_GB2312"/>
          <w:sz w:val="32"/>
          <w:szCs w:val="32"/>
        </w:rPr>
        <w:t>中过氧化值（以脂肪计</w:t>
      </w:r>
      <w:r>
        <w:rPr>
          <w:rFonts w:hint="eastAsia" w:eastAsia="仿宋_GB2312"/>
          <w:sz w:val="32"/>
          <w:szCs w:val="32"/>
        </w:rPr>
        <w:t>）的</w:t>
      </w:r>
      <w:r>
        <w:rPr>
          <w:rFonts w:ascii="Times New Roman" w:hAnsi="Times New Roman" w:eastAsia="仿宋_GB2312"/>
          <w:sz w:val="32"/>
          <w:szCs w:val="32"/>
        </w:rPr>
        <w:t>最大限量值为</w:t>
      </w:r>
      <w:r>
        <w:rPr>
          <w:rFonts w:hint="eastAsia" w:ascii="Times New Roman" w:hAnsi="Times New Roman" w:eastAsia="仿宋_GB2312" w:cs="Times New Roman"/>
          <w:sz w:val="32"/>
          <w:szCs w:val="32"/>
          <w:lang w:val="en-US" w:eastAsia="zh-CN"/>
        </w:rPr>
        <w:t>0.5</w:t>
      </w:r>
      <w:r>
        <w:rPr>
          <w:rFonts w:hint="eastAsia" w:ascii="Times New Roman" w:hAnsi="Times New Roman" w:eastAsia="仿宋_GB2312" w:cs="Times New Roman"/>
          <w:sz w:val="32"/>
          <w:szCs w:val="32"/>
        </w:rPr>
        <w:t>g/100g。</w:t>
      </w:r>
      <w:r>
        <w:rPr>
          <w:rFonts w:hint="eastAsia" w:ascii="Times New Roman" w:hAnsi="Times New Roman" w:eastAsia="仿宋_GB2312"/>
          <w:sz w:val="32"/>
          <w:szCs w:val="32"/>
          <w:lang w:val="en-US" w:eastAsia="zh-CN"/>
        </w:rPr>
        <w:t>腊肉</w:t>
      </w:r>
      <w:r>
        <w:rPr>
          <w:rFonts w:hint="eastAsia" w:ascii="Times New Roman" w:hAnsi="Times New Roman" w:eastAsia="仿宋_GB2312"/>
          <w:sz w:val="32"/>
          <w:szCs w:val="32"/>
        </w:rPr>
        <w:t>中</w:t>
      </w:r>
      <w:r>
        <w:rPr>
          <w:rFonts w:hint="eastAsia" w:ascii="Times New Roman" w:hAnsi="Times New Roman" w:eastAsia="仿宋_GB2312" w:cs="Times New Roman"/>
          <w:sz w:val="32"/>
          <w:szCs w:val="32"/>
        </w:rPr>
        <w:t>过氧化值超标的原因可能是产品在储存过程中环境条件控制不当导致</w:t>
      </w:r>
      <w:bookmarkStart w:id="0" w:name="_GoBack"/>
      <w:bookmarkEnd w:id="0"/>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宋体" w:hAnsi="宋体" w:eastAsia="方正黑体_GBK" w:cs="方正黑体_GBK"/>
          <w:color w:val="auto"/>
          <w:spacing w:val="-11"/>
          <w:sz w:val="32"/>
          <w:szCs w:val="32"/>
          <w:lang w:val="en-US" w:eastAsia="zh-CN"/>
        </w:rPr>
      </w:pPr>
      <w:r>
        <w:rPr>
          <w:rFonts w:hint="eastAsia" w:ascii="宋体" w:hAnsi="宋体" w:eastAsia="方正黑体_GBK" w:cs="方正黑体_GBK"/>
          <w:color w:val="auto"/>
          <w:spacing w:val="-11"/>
          <w:sz w:val="32"/>
          <w:szCs w:val="32"/>
          <w:lang w:val="en-US" w:eastAsia="zh-CN"/>
        </w:rPr>
        <w:t>五、</w:t>
      </w:r>
      <w:r>
        <w:rPr>
          <w:rFonts w:hint="eastAsia" w:ascii="宋体" w:hAnsi="宋体" w:eastAsia="黑体" w:cs="黑体"/>
          <w:color w:val="auto"/>
          <w:sz w:val="32"/>
          <w:szCs w:val="32"/>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kern w:val="2"/>
          <w:sz w:val="32"/>
          <w:szCs w:val="32"/>
          <w:highlight w:val="none"/>
          <w:lang w:val="en-US" w:eastAsia="zh-CN" w:bidi="ar-SA"/>
        </w:rPr>
      </w:pPr>
      <w:r>
        <w:rPr>
          <w:rFonts w:hint="eastAsia" w:ascii="宋体" w:hAnsi="宋体" w:eastAsia="方正仿宋_GBK" w:cs="宋体"/>
          <w:color w:val="auto"/>
          <w:kern w:val="2"/>
          <w:sz w:val="32"/>
          <w:szCs w:val="32"/>
          <w:highlight w:val="none"/>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0000FF"/>
          <w:kern w:val="2"/>
          <w:sz w:val="32"/>
          <w:szCs w:val="32"/>
          <w:lang w:val="en-US" w:eastAsia="zh-CN" w:bidi="ar-SA"/>
        </w:rPr>
      </w:pPr>
    </w:p>
    <w:sectPr>
      <w:footerReference r:id="rId3" w:type="default"/>
      <w:footerReference r:id="rId4" w:type="even"/>
      <w:pgSz w:w="11906" w:h="16838"/>
      <w:pgMar w:top="2098" w:right="141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823D1C-7080-4B2C-B22C-8C4CA4779F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ADC09D29-6015-45B0-BFC9-C11796718F61}"/>
  </w:font>
  <w:font w:name="方正小标宋_GBK">
    <w:panose1 w:val="03000509000000000000"/>
    <w:charset w:val="86"/>
    <w:family w:val="auto"/>
    <w:pitch w:val="default"/>
    <w:sig w:usb0="00000001" w:usb1="080E0000" w:usb2="00000000" w:usb3="00000000" w:csb0="00040000" w:csb1="00000000"/>
    <w:embedRegular r:id="rId3" w:fontKey="{B750E3AD-AFCE-41DE-BE1D-EDE5EF2D10DF}"/>
  </w:font>
  <w:font w:name="方正仿宋_GBK">
    <w:panose1 w:val="03000509000000000000"/>
    <w:charset w:val="86"/>
    <w:family w:val="auto"/>
    <w:pitch w:val="default"/>
    <w:sig w:usb0="00000001" w:usb1="080E0000" w:usb2="00000000" w:usb3="00000000" w:csb0="00040000" w:csb1="00000000"/>
    <w:embedRegular r:id="rId4" w:fontKey="{E79542AE-A294-46E9-9D1C-F0CED1B8A825}"/>
  </w:font>
  <w:font w:name="仿宋_GB2312">
    <w:altName w:val="仿宋"/>
    <w:panose1 w:val="02010609030101010101"/>
    <w:charset w:val="86"/>
    <w:family w:val="modern"/>
    <w:pitch w:val="default"/>
    <w:sig w:usb0="00000000" w:usb1="00000000" w:usb2="00000000" w:usb3="00000000" w:csb0="00040000" w:csb1="00000000"/>
    <w:embedRegular r:id="rId5" w:fontKey="{A837C742-66BF-41EE-B16C-AF72B66521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68BD"/>
    <w:rsid w:val="0009071C"/>
    <w:rsid w:val="000C63B4"/>
    <w:rsid w:val="000D132D"/>
    <w:rsid w:val="000E0F61"/>
    <w:rsid w:val="000E639C"/>
    <w:rsid w:val="00101A1D"/>
    <w:rsid w:val="0010777E"/>
    <w:rsid w:val="00116CA2"/>
    <w:rsid w:val="0012448A"/>
    <w:rsid w:val="00135634"/>
    <w:rsid w:val="00135A77"/>
    <w:rsid w:val="00142BDE"/>
    <w:rsid w:val="0015345E"/>
    <w:rsid w:val="00170041"/>
    <w:rsid w:val="0018028B"/>
    <w:rsid w:val="001B6492"/>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86FEC"/>
    <w:rsid w:val="005A6A35"/>
    <w:rsid w:val="005A758A"/>
    <w:rsid w:val="005C0139"/>
    <w:rsid w:val="005C2A8D"/>
    <w:rsid w:val="005C692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2B726F0"/>
    <w:rsid w:val="02E57613"/>
    <w:rsid w:val="03A74BA9"/>
    <w:rsid w:val="05A8609E"/>
    <w:rsid w:val="077F1302"/>
    <w:rsid w:val="08A718AC"/>
    <w:rsid w:val="08EB30F3"/>
    <w:rsid w:val="0AAD14F9"/>
    <w:rsid w:val="0B6871A7"/>
    <w:rsid w:val="0BAF665A"/>
    <w:rsid w:val="0EFB1BB6"/>
    <w:rsid w:val="0FED6590"/>
    <w:rsid w:val="10022AD1"/>
    <w:rsid w:val="11AA7966"/>
    <w:rsid w:val="11C52008"/>
    <w:rsid w:val="1270735C"/>
    <w:rsid w:val="127F1DEB"/>
    <w:rsid w:val="130C65CB"/>
    <w:rsid w:val="141679B1"/>
    <w:rsid w:val="159E2C66"/>
    <w:rsid w:val="15A206DE"/>
    <w:rsid w:val="15B85137"/>
    <w:rsid w:val="16041BA6"/>
    <w:rsid w:val="187854F2"/>
    <w:rsid w:val="18BA4890"/>
    <w:rsid w:val="1D2A530E"/>
    <w:rsid w:val="1ED8781E"/>
    <w:rsid w:val="1F0653D6"/>
    <w:rsid w:val="1FA83868"/>
    <w:rsid w:val="22A46395"/>
    <w:rsid w:val="23496F3C"/>
    <w:rsid w:val="242F7EE0"/>
    <w:rsid w:val="24A96F54"/>
    <w:rsid w:val="28363B6E"/>
    <w:rsid w:val="28531629"/>
    <w:rsid w:val="2940493E"/>
    <w:rsid w:val="2BDB0938"/>
    <w:rsid w:val="2C550700"/>
    <w:rsid w:val="2C9024A3"/>
    <w:rsid w:val="2DE7759F"/>
    <w:rsid w:val="2F1403FE"/>
    <w:rsid w:val="31481D74"/>
    <w:rsid w:val="33067B3D"/>
    <w:rsid w:val="33764379"/>
    <w:rsid w:val="33D04B10"/>
    <w:rsid w:val="361B61C7"/>
    <w:rsid w:val="36AA6CD3"/>
    <w:rsid w:val="36C50230"/>
    <w:rsid w:val="3A512225"/>
    <w:rsid w:val="3B797920"/>
    <w:rsid w:val="3D0A4BEF"/>
    <w:rsid w:val="3ECA4CD4"/>
    <w:rsid w:val="40475A64"/>
    <w:rsid w:val="42CD2946"/>
    <w:rsid w:val="43A01E09"/>
    <w:rsid w:val="44586DC0"/>
    <w:rsid w:val="44D1659A"/>
    <w:rsid w:val="44D66362"/>
    <w:rsid w:val="45631EB2"/>
    <w:rsid w:val="459E6DD3"/>
    <w:rsid w:val="45C97345"/>
    <w:rsid w:val="46FC37FA"/>
    <w:rsid w:val="479E0D55"/>
    <w:rsid w:val="48805DD2"/>
    <w:rsid w:val="49115557"/>
    <w:rsid w:val="49C57CC7"/>
    <w:rsid w:val="4AFE195C"/>
    <w:rsid w:val="4B304B48"/>
    <w:rsid w:val="4B5562A0"/>
    <w:rsid w:val="4BB9615E"/>
    <w:rsid w:val="4BC323F1"/>
    <w:rsid w:val="4C9B5A25"/>
    <w:rsid w:val="4CB16E35"/>
    <w:rsid w:val="4D2F6550"/>
    <w:rsid w:val="4EE57FD2"/>
    <w:rsid w:val="4EF47490"/>
    <w:rsid w:val="4F643538"/>
    <w:rsid w:val="510D7238"/>
    <w:rsid w:val="518508DD"/>
    <w:rsid w:val="52732B71"/>
    <w:rsid w:val="532E3A5B"/>
    <w:rsid w:val="5B0203A0"/>
    <w:rsid w:val="5B264CA7"/>
    <w:rsid w:val="5BF35373"/>
    <w:rsid w:val="5C2A4495"/>
    <w:rsid w:val="5E570D16"/>
    <w:rsid w:val="607A7AEC"/>
    <w:rsid w:val="60FD15F7"/>
    <w:rsid w:val="6189617B"/>
    <w:rsid w:val="619C7C5C"/>
    <w:rsid w:val="622163B3"/>
    <w:rsid w:val="62C531E2"/>
    <w:rsid w:val="634E6D48"/>
    <w:rsid w:val="63A75247"/>
    <w:rsid w:val="63C35974"/>
    <w:rsid w:val="63E1229E"/>
    <w:rsid w:val="649B41FB"/>
    <w:rsid w:val="6655487D"/>
    <w:rsid w:val="667473F9"/>
    <w:rsid w:val="66AC17A4"/>
    <w:rsid w:val="692C7B17"/>
    <w:rsid w:val="6A00000E"/>
    <w:rsid w:val="6A7A5576"/>
    <w:rsid w:val="6CDE6EEF"/>
    <w:rsid w:val="6D306DE5"/>
    <w:rsid w:val="6D535020"/>
    <w:rsid w:val="6D631F76"/>
    <w:rsid w:val="6E0005AE"/>
    <w:rsid w:val="6ED3511D"/>
    <w:rsid w:val="6FB849AC"/>
    <w:rsid w:val="70E4517B"/>
    <w:rsid w:val="71034E99"/>
    <w:rsid w:val="72110E28"/>
    <w:rsid w:val="74337D60"/>
    <w:rsid w:val="74A44FDB"/>
    <w:rsid w:val="75222174"/>
    <w:rsid w:val="75856B41"/>
    <w:rsid w:val="77BC475C"/>
    <w:rsid w:val="77D53A70"/>
    <w:rsid w:val="781F4CEB"/>
    <w:rsid w:val="79DF4732"/>
    <w:rsid w:val="7A0E5AF7"/>
    <w:rsid w:val="7BFC5A6F"/>
    <w:rsid w:val="7C896BD7"/>
    <w:rsid w:val="7CCD4AFB"/>
    <w:rsid w:val="7D2012E9"/>
    <w:rsid w:val="7D2423F5"/>
    <w:rsid w:val="7F5B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annotation text"/>
    <w:basedOn w:val="1"/>
    <w:link w:val="20"/>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1"/>
    <w:qFormat/>
    <w:uiPriority w:val="0"/>
    <w:rPr>
      <w:b/>
      <w:bCs/>
    </w:rPr>
  </w:style>
  <w:style w:type="character" w:styleId="13">
    <w:name w:val="annotation reference"/>
    <w:basedOn w:val="12"/>
    <w:qFormat/>
    <w:uiPriority w:val="0"/>
    <w:rPr>
      <w:sz w:val="21"/>
      <w:szCs w:val="21"/>
    </w:rPr>
  </w:style>
  <w:style w:type="paragraph" w:customStyle="1" w:styleId="14">
    <w:name w:val="列出段落2"/>
    <w:basedOn w:val="1"/>
    <w:qFormat/>
    <w:uiPriority w:val="34"/>
    <w:pPr>
      <w:ind w:firstLine="420" w:firstLineChars="200"/>
    </w:pPr>
  </w:style>
  <w:style w:type="character" w:customStyle="1" w:styleId="15">
    <w:name w:val="批注框文本 字符"/>
    <w:basedOn w:val="12"/>
    <w:link w:val="5"/>
    <w:qFormat/>
    <w:uiPriority w:val="0"/>
    <w:rPr>
      <w:rFonts w:ascii="Calibri" w:hAnsi="Calibri" w:eastAsia="宋体" w:cs="Times New Roman"/>
      <w:kern w:val="2"/>
      <w:sz w:val="18"/>
      <w:szCs w:val="18"/>
    </w:rPr>
  </w:style>
  <w:style w:type="paragraph" w:styleId="16">
    <w:name w:val="List Paragraph"/>
    <w:basedOn w:val="1"/>
    <w:qFormat/>
    <w:uiPriority w:val="34"/>
    <w:pPr>
      <w:ind w:firstLine="420" w:firstLineChars="200"/>
    </w:pPr>
    <w:rPr>
      <w:szCs w:val="22"/>
    </w:rPr>
  </w:style>
  <w:style w:type="character" w:customStyle="1" w:styleId="17">
    <w:name w:val="页眉 字符"/>
    <w:basedOn w:val="12"/>
    <w:link w:val="7"/>
    <w:qFormat/>
    <w:uiPriority w:val="0"/>
    <w:rPr>
      <w:rFonts w:ascii="Calibri" w:hAnsi="Calibri" w:eastAsia="宋体" w:cs="Times New Roman"/>
      <w:kern w:val="2"/>
      <w:sz w:val="18"/>
      <w:szCs w:val="18"/>
    </w:rPr>
  </w:style>
  <w:style w:type="character" w:customStyle="1" w:styleId="18">
    <w:name w:val="页脚 字符"/>
    <w:basedOn w:val="12"/>
    <w:link w:val="6"/>
    <w:qFormat/>
    <w:uiPriority w:val="99"/>
    <w:rPr>
      <w:rFonts w:ascii="Calibri" w:hAnsi="Calibri" w:eastAsia="宋体" w:cs="Times New Roman"/>
      <w:kern w:val="2"/>
      <w:sz w:val="18"/>
      <w:szCs w:val="18"/>
    </w:rPr>
  </w:style>
  <w:style w:type="character" w:customStyle="1" w:styleId="19">
    <w:name w:val="副标题 字符"/>
    <w:basedOn w:val="12"/>
    <w:link w:val="8"/>
    <w:qFormat/>
    <w:uiPriority w:val="0"/>
    <w:rPr>
      <w:rFonts w:ascii="Times New Roman" w:hAnsi="Times New Roman" w:eastAsia="黑体"/>
      <w:bCs/>
      <w:kern w:val="28"/>
      <w:sz w:val="32"/>
      <w:szCs w:val="32"/>
    </w:rPr>
  </w:style>
  <w:style w:type="character" w:customStyle="1" w:styleId="20">
    <w:name w:val="批注文字 字符"/>
    <w:basedOn w:val="12"/>
    <w:link w:val="4"/>
    <w:qFormat/>
    <w:uiPriority w:val="0"/>
    <w:rPr>
      <w:rFonts w:ascii="Calibri" w:hAnsi="Calibri" w:eastAsia="宋体" w:cs="Times New Roman"/>
      <w:kern w:val="2"/>
      <w:sz w:val="21"/>
      <w:szCs w:val="24"/>
    </w:rPr>
  </w:style>
  <w:style w:type="character" w:customStyle="1" w:styleId="21">
    <w:name w:val="批注主题 字符"/>
    <w:basedOn w:val="20"/>
    <w:link w:val="10"/>
    <w:qFormat/>
    <w:uiPriority w:val="0"/>
    <w:rPr>
      <w:rFonts w:ascii="Calibri" w:hAnsi="Calibri" w:eastAsia="宋体" w:cs="Times New Roman"/>
      <w:b/>
      <w:bCs/>
      <w:kern w:val="2"/>
      <w:sz w:val="21"/>
      <w:szCs w:val="24"/>
    </w:rPr>
  </w:style>
  <w:style w:type="paragraph" w:customStyle="1" w:styleId="22">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1100</Words>
  <Characters>1161</Characters>
  <Lines>16</Lines>
  <Paragraphs>4</Paragraphs>
  <TotalTime>4</TotalTime>
  <ScaleCrop>false</ScaleCrop>
  <LinksUpToDate>false</LinksUpToDate>
  <CharactersWithSpaces>1171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Administrator</cp:lastModifiedBy>
  <dcterms:modified xsi:type="dcterms:W3CDTF">2023-06-20T02:05:06Z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BFD02D606F7B421BA16D13BA0ED4F7A7</vt:lpwstr>
  </property>
</Properties>
</file>