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Times New Roman" w:hAnsi="Times New Roman" w:eastAsia="黑体" w:cs="仿宋"/>
          <w:color w:val="000000"/>
          <w:highlight w:val="none"/>
          <w:lang w:val="en-US" w:eastAsia="zh-CN"/>
        </w:rPr>
      </w:pPr>
      <w:bookmarkStart w:id="0" w:name="_GoBack"/>
      <w:bookmarkEnd w:id="0"/>
      <w:r>
        <w:rPr>
          <w:rFonts w:hint="eastAsia" w:ascii="Times New Roman" w:hAnsi="Times New Roman" w:eastAsia="黑体" w:cs="仿宋"/>
          <w:color w:val="000000"/>
          <w:highlight w:val="none"/>
        </w:rPr>
        <w:t>附件</w:t>
      </w:r>
      <w:r>
        <w:rPr>
          <w:rFonts w:hint="eastAsia" w:ascii="Times New Roman" w:hAnsi="Times New Roman" w:eastAsia="黑体" w:cs="仿宋"/>
          <w:color w:val="000000"/>
          <w:highlight w:val="none"/>
          <w:lang w:val="en-US" w:eastAsia="zh-CN"/>
        </w:rPr>
        <w:t>13</w:t>
      </w:r>
    </w:p>
    <w:p>
      <w:pPr>
        <w:keepNext w:val="0"/>
        <w:keepLines w:val="0"/>
        <w:pageBreakBefore w:val="0"/>
        <w:kinsoku/>
        <w:wordWrap/>
        <w:overflowPunct/>
        <w:topLinePunct w:val="0"/>
        <w:autoSpaceDE/>
        <w:autoSpaceDN/>
        <w:bidi w:val="0"/>
        <w:adjustRightInd/>
        <w:spacing w:line="640" w:lineRule="exact"/>
        <w:textAlignment w:val="auto"/>
        <w:rPr>
          <w:rFonts w:hint="default" w:ascii="Times New Roman" w:hAnsi="Times New Roman" w:eastAsia="黑体" w:cs="仿宋"/>
          <w:color w:val="000000"/>
          <w:highlight w:val="none"/>
          <w:lang w:val="en-US" w:eastAsia="zh-CN"/>
        </w:rPr>
      </w:pPr>
    </w:p>
    <w:p>
      <w:pPr>
        <w:keepNext w:val="0"/>
        <w:keepLines w:val="0"/>
        <w:pageBreakBefore w:val="0"/>
        <w:widowControl/>
        <w:shd w:val="clear" w:color="auto" w:fill="auto"/>
        <w:kinsoku/>
        <w:wordWrap/>
        <w:overflowPunct/>
        <w:topLinePunct w:val="0"/>
        <w:autoSpaceDE/>
        <w:autoSpaceDN/>
        <w:bidi w:val="0"/>
        <w:adjustRightInd/>
        <w:snapToGrid w:val="0"/>
        <w:spacing w:line="640" w:lineRule="exact"/>
        <w:jc w:val="center"/>
        <w:textAlignment w:val="auto"/>
        <w:rPr>
          <w:rFonts w:hint="eastAsia" w:ascii="Times New Roman" w:hAnsi="Times New Roman" w:eastAsia="方正小标宋简体" w:cs="仿宋"/>
          <w:color w:val="000000"/>
          <w:sz w:val="44"/>
          <w:szCs w:val="44"/>
          <w:highlight w:val="none"/>
        </w:rPr>
      </w:pPr>
      <w:r>
        <w:rPr>
          <w:rFonts w:hint="eastAsia" w:ascii="Times New Roman" w:hAnsi="Times New Roman" w:eastAsia="方正小标宋简体" w:cs="仿宋"/>
          <w:color w:val="000000"/>
          <w:sz w:val="44"/>
          <w:szCs w:val="44"/>
          <w:highlight w:val="none"/>
        </w:rPr>
        <w:t>关于部分</w:t>
      </w:r>
      <w:r>
        <w:rPr>
          <w:rFonts w:hint="eastAsia" w:ascii="Times New Roman" w:hAnsi="Times New Roman" w:eastAsia="方正小标宋简体" w:cs="仿宋"/>
          <w:color w:val="000000"/>
          <w:sz w:val="44"/>
          <w:szCs w:val="44"/>
          <w:highlight w:val="none"/>
          <w:lang w:eastAsia="zh-CN"/>
        </w:rPr>
        <w:t>抽检项目</w:t>
      </w:r>
      <w:r>
        <w:rPr>
          <w:rFonts w:hint="eastAsia" w:ascii="Times New Roman" w:hAnsi="Times New Roman" w:eastAsia="方正小标宋简体" w:cs="仿宋"/>
          <w:color w:val="000000"/>
          <w:sz w:val="44"/>
          <w:szCs w:val="44"/>
          <w:highlight w:val="none"/>
        </w:rPr>
        <w:t>的说明</w:t>
      </w:r>
    </w:p>
    <w:p>
      <w:pPr>
        <w:keepNext w:val="0"/>
        <w:keepLines w:val="0"/>
        <w:pageBreakBefore w:val="0"/>
        <w:widowControl/>
        <w:shd w:val="clear" w:color="auto" w:fill="auto"/>
        <w:kinsoku/>
        <w:wordWrap/>
        <w:overflowPunct/>
        <w:topLinePunct w:val="0"/>
        <w:autoSpaceDE/>
        <w:autoSpaceDN/>
        <w:bidi w:val="0"/>
        <w:adjustRightInd/>
        <w:snapToGrid w:val="0"/>
        <w:spacing w:line="640" w:lineRule="exact"/>
        <w:textAlignment w:val="auto"/>
        <w:rPr>
          <w:rFonts w:hint="eastAsia" w:ascii="Times New Roman" w:hAnsi="Times New Roman" w:eastAsia="仿宋_GB2312"/>
          <w:color w:val="000000"/>
          <w:highlight w:val="none"/>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rightChars="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一、</w:t>
      </w:r>
      <w:r>
        <w:rPr>
          <w:rFonts w:hint="eastAsia" w:ascii="Times New Roman" w:hAnsi="Times New Roman" w:eastAsia="黑体" w:cs="黑体"/>
          <w:color w:val="000000"/>
          <w:szCs w:val="32"/>
          <w:highlight w:val="none"/>
          <w:lang w:val="en-US" w:eastAsia="zh-CN"/>
        </w:rPr>
        <w:t>N-二甲基亚硝胺</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40" w:firstLineChars="200"/>
        <w:textAlignment w:val="auto"/>
        <w:rPr>
          <w:rFonts w:hint="eastAsia" w:ascii="Times New Roman" w:hAnsi="Times New Roman" w:eastAsia="仿宋_GB2312" w:cs="Times New Roman"/>
          <w:bCs/>
          <w:color w:val="000000"/>
          <w:kern w:val="2"/>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N-二甲基亚硝胺是N-亚硝胺类化合物的一种，是国际公认的毒性较大的污染物，具有肝毒性和致癌性。目前由N-二甲基亚硝胺引起的急性中毒较少，但如果一次或多次摄入含大量N-亚硝胺类化合物的食物，也可能引起急性中毒。《食品安全国家标准 食品中污染物限量》（GB 2762-2022 ）中规定，N-二甲基亚硝胺在水产制品（水产品罐头除外）中的最大限量值为4.0μg/kg。熟制动物性水产制品中N-二甲基亚硝胺检测值超标的原因，可能是产品原料腐败所致或加工过程中污染所致</w:t>
      </w:r>
      <w:r>
        <w:rPr>
          <w:rFonts w:hint="eastAsia" w:ascii="Times New Roman" w:hAnsi="Times New Roman" w:eastAsia="仿宋_GB2312" w:cs="Times New Roman"/>
          <w:bCs/>
          <w:color w:val="00000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rightChars="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二、</w:t>
      </w:r>
      <w:r>
        <w:rPr>
          <w:rFonts w:hint="eastAsia" w:ascii="Times New Roman" w:hAnsi="Times New Roman" w:eastAsia="黑体" w:cs="黑体"/>
          <w:color w:val="000000"/>
          <w:sz w:val="32"/>
          <w:szCs w:val="32"/>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40" w:firstLineChars="200"/>
        <w:textAlignment w:val="auto"/>
        <w:rPr>
          <w:rFonts w:hint="eastAsia" w:ascii="Times New Roman" w:hAnsi="Times New Roman" w:eastAsia="仿宋_GB2312" w:cs="仿宋_GB2312"/>
          <w:bCs/>
          <w:color w:val="000000"/>
          <w:kern w:val="0"/>
          <w:sz w:val="32"/>
          <w:szCs w:val="32"/>
          <w:highlight w:val="none"/>
          <w:lang w:val="en-US" w:eastAsia="zh-CN" w:bidi="ar"/>
        </w:rPr>
      </w:pPr>
      <w:r>
        <w:rPr>
          <w:rFonts w:hint="eastAsia" w:ascii="Times New Roman" w:hAnsi="Times New Roman" w:eastAsia="仿宋_GB2312" w:cs="仿宋_GB2312"/>
          <w:bCs/>
          <w:color w:val="000000"/>
          <w:kern w:val="0"/>
          <w:sz w:val="32"/>
          <w:szCs w:val="32"/>
          <w:highlight w:val="none"/>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rightChars="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三、</w:t>
      </w:r>
      <w:r>
        <w:rPr>
          <w:rFonts w:hint="eastAsia" w:ascii="Times New Roman" w:hAnsi="Times New Roman" w:eastAsia="黑体" w:cs="黑体"/>
          <w:color w:val="000000"/>
          <w:sz w:val="32"/>
          <w:szCs w:val="32"/>
          <w:lang w:val="en-US" w:eastAsia="zh-CN"/>
        </w:rPr>
        <w:t>铅（以Pb计）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40" w:firstLineChars="200"/>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铅是一种常见的重金属元素污染物，长期食用铅含量超标的食品，可能会对人体的血液系统、神经系统产生损害，尤其对儿童生长和智力发育的影响较大。《食品安全国家标准 食品中污染物限量》（GB 2762-2022）中规定，酱腌菜中铅的最大限量值为0.5mg/kg。酱腌菜中铅（以Pb计）检测值超标的原因，可能是生产企业使用的蔬菜原料中铅含量超标，也可能是生产设备或包装材料中的铅迁移带入。</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rightChars="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四、</w:t>
      </w:r>
      <w:r>
        <w:rPr>
          <w:rFonts w:hint="eastAsia" w:ascii="Times New Roman" w:hAnsi="Times New Roman" w:eastAsia="黑体"/>
          <w:bCs/>
          <w:color w:val="000000"/>
          <w:kern w:val="0"/>
          <w:sz w:val="32"/>
          <w:szCs w:val="32"/>
          <w:lang w:eastAsia="zh-CN"/>
        </w:rPr>
        <w:t>过氧化值</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right="0" w:rightChars="0" w:firstLine="640" w:firstLineChars="200"/>
        <w:textAlignment w:val="auto"/>
        <w:rPr>
          <w:rFonts w:hint="eastAsia" w:ascii="Times New Roman" w:hAnsi="Times New Roman" w:eastAsia="仿宋_GB2312" w:cs="仿宋_GB2312"/>
          <w:bCs/>
          <w:color w:val="000000"/>
          <w:kern w:val="0"/>
          <w:sz w:val="32"/>
          <w:szCs w:val="32"/>
          <w:lang w:val="zh-CN" w:eastAsia="zh-CN" w:bidi="ar"/>
        </w:rPr>
      </w:pPr>
      <w:r>
        <w:rPr>
          <w:rFonts w:hint="eastAsia" w:ascii="Times New Roman" w:hAnsi="Times New Roman" w:eastAsia="仿宋_GB2312" w:cs="仿宋_GB2312"/>
          <w:bCs/>
          <w:color w:val="000000"/>
          <w:kern w:val="0"/>
          <w:sz w:val="32"/>
          <w:szCs w:val="32"/>
          <w:lang w:val="en-US" w:eastAsia="zh-CN" w:bidi="ar"/>
        </w:rPr>
        <w:t>过氧化值是油脂酸败的早期指标，主要反映油脂被氧化的程度。食用过氧化值超标的食品一般</w:t>
      </w:r>
      <w:r>
        <w:rPr>
          <w:rFonts w:hint="eastAsia" w:ascii="Times New Roman" w:hAnsi="Times New Roman" w:eastAsia="仿宋_GB2312" w:cs="仿宋_GB2312"/>
          <w:bCs/>
          <w:color w:val="000000"/>
          <w:spacing w:val="-6"/>
          <w:kern w:val="0"/>
          <w:sz w:val="32"/>
          <w:szCs w:val="32"/>
          <w:lang w:val="en-US" w:eastAsia="zh-CN" w:bidi="ar"/>
        </w:rPr>
        <w:t>不会对人体健康造成损害，但长期食用过氧化值严重超标的食品可能导致肠胃不适、腹泻等。《花生油》（GB/T 1534-2017）中规定，一级成品花生油中过氧化值最大限量值为6.0mmol/kg。花生油中过氧</w:t>
      </w:r>
      <w:r>
        <w:rPr>
          <w:rFonts w:hint="eastAsia" w:ascii="Times New Roman" w:hAnsi="Times New Roman" w:eastAsia="仿宋_GB2312" w:cs="仿宋_GB2312"/>
          <w:bCs/>
          <w:color w:val="000000"/>
          <w:kern w:val="0"/>
          <w:sz w:val="32"/>
          <w:szCs w:val="32"/>
          <w:lang w:val="en-US" w:eastAsia="zh-CN" w:bidi="ar"/>
        </w:rPr>
        <w:t>化值超标的原因，可能是产品在储存过程中环境条件控制不当，导致油脂过度氧化；也可能是原料储存不当，导致脂肪过度氧化，使得终产品过氧化值超标。</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rightChars="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五、</w:t>
      </w:r>
      <w:r>
        <w:rPr>
          <w:rFonts w:hint="eastAsia" w:ascii="Times New Roman" w:hAnsi="Times New Roman" w:eastAsia="黑体" w:cs="黑体"/>
          <w:color w:val="000000"/>
          <w:kern w:val="0"/>
          <w:sz w:val="32"/>
          <w:szCs w:val="32"/>
          <w:highlight w:val="none"/>
          <w:lang w:val="en-US" w:eastAsia="zh-CN"/>
        </w:rPr>
        <w:t>赤藓红</w:t>
      </w:r>
    </w:p>
    <w:p>
      <w:pPr>
        <w:ind w:firstLine="640" w:firstLineChars="200"/>
      </w:pPr>
      <w:r>
        <w:rPr>
          <w:rFonts w:hint="eastAsia" w:ascii="Times New Roman" w:hAnsi="Times New Roman" w:eastAsia="仿宋_GB2312" w:cs="仿宋_GB2312"/>
          <w:bCs/>
          <w:color w:val="000000"/>
          <w:kern w:val="0"/>
          <w:sz w:val="32"/>
          <w:szCs w:val="32"/>
          <w:lang w:val="en-US" w:eastAsia="zh-CN" w:bidi="ar"/>
        </w:rPr>
        <w:t>赤藓红是一种合成着色剂，长期过量摄入赤藓红，可能会在体内蓄积，对肾脏、肝脏产生一定伤害。《食品安全国家标准 食品添加剂使用标准》（GB 2760-2014）中规定，糕点中赤藓红限值为不得使用。造成糕点中赤藓红不合格的主要原因有生产经营企业为改善产品色泽而超限量、超范围使用，或者未准确计量。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DE3D9C"/>
    <w:rsid w:val="38DE3D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2024-06-24T02:03:00Z</dcterms:created>
  <dc:creator>罗钰珊</dc:creator>
  <cp:lastModifiedBy>罗钰珊</cp:lastModifiedBy>
  <dcterms:modified xsi:type="dcterms:W3CDTF">2024-06-24T02:05:00Z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1F7D2DDA77B74E609F862F123A5CD398</vt:lpwstr>
  </property>
</Properties>
</file>