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napToGrid w:val="0"/>
        <w:spacing w:line="560" w:lineRule="exact"/>
        <w:jc w:val="both"/>
        <w:rPr>
          <w:rFonts w:eastAsia="方正公文黑体"/>
          <w:spacing w:val="-12"/>
          <w:sz w:val="32"/>
          <w:szCs w:val="32"/>
          <w:lang w:bidi="ar-SA"/>
        </w:rPr>
      </w:pPr>
      <w:r>
        <w:rPr>
          <w:rFonts w:eastAsia="方正公文黑体"/>
          <w:sz w:val="32"/>
          <w:szCs w:val="32"/>
          <w:lang w:bidi="ar-SA"/>
        </w:rPr>
        <w:t>附件2</w:t>
      </w:r>
    </w:p>
    <w:p>
      <w:pPr>
        <w:snapToGrid w:val="0"/>
        <w:spacing w:line="560" w:lineRule="exact"/>
        <w:ind w:firstLineChars="200" w:firstLine="832"/>
        <w:jc w:val="both"/>
        <w:rPr>
          <w:rFonts w:eastAsia="方正公文小标宋"/>
          <w:spacing w:val="-12"/>
          <w:sz w:val="44"/>
          <w:szCs w:val="44"/>
          <w:lang w:bidi="ar-SA"/>
        </w:rPr>
      </w:pPr>
    </w:p>
    <w:p>
      <w:pPr>
        <w:snapToGrid w:val="0"/>
        <w:spacing w:line="560" w:lineRule="exact"/>
        <w:ind w:left="0"/>
        <w:jc w:val="center"/>
        <w:rPr>
          <w:rFonts w:eastAsia="方正公文小标宋"/>
          <w:spacing w:val="-12"/>
          <w:sz w:val="44"/>
          <w:szCs w:val="44"/>
          <w:lang w:bidi="ar-SA"/>
        </w:rPr>
      </w:pPr>
      <w:r>
        <w:rPr>
          <w:rFonts w:eastAsia="方正公文小标宋"/>
          <w:spacing w:val="-12"/>
          <w:sz w:val="44"/>
          <w:szCs w:val="44"/>
          <w:lang w:bidi="ar-SA"/>
        </w:rPr>
        <w:t>部分不合格检验项目小知识</w:t>
      </w:r>
    </w:p>
    <w:p>
      <w:pPr>
        <w:snapToGrid w:val="0"/>
        <w:spacing w:line="560" w:lineRule="exact"/>
        <w:ind w:left="728" w:firstLine="0"/>
        <w:rPr>
          <w:rFonts w:eastAsia="黑体"/>
          <w:spacing w:val="-12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ind w:left="0" w:firstLineChars="200" w:firstLine="592"/>
        <w:rPr>
          <w:rFonts w:eastAsia="方正公文黑体"/>
          <w:spacing w:val="-12"/>
          <w:sz w:val="32"/>
          <w:szCs w:val="32"/>
          <w:lang w:val="en-US" w:eastAsia="zh-CN"/>
        </w:rPr>
      </w:pPr>
      <w:r>
        <w:rPr>
          <w:rFonts w:eastAsia="方正公文黑体"/>
          <w:spacing w:val="-12"/>
          <w:sz w:val="32"/>
          <w:szCs w:val="32"/>
          <w:lang w:val="en-US" w:eastAsia="zh-CN"/>
        </w:rPr>
        <w:t>一、噻虫胺</w:t>
      </w:r>
    </w:p>
    <w:p>
      <w:pPr>
        <w:keepNext w:val="0"/>
        <w:keepLines w:val="0"/>
        <w:widowControl/>
        <w:suppressLineNumbers w:val="0"/>
        <w:snapToGrid w:val="0"/>
        <w:spacing w:line="560" w:lineRule="exact"/>
        <w:ind w:firstLineChars="200" w:firstLine="640"/>
        <w:jc w:val="both"/>
        <w:rPr>
          <w:rFonts w:eastAsia="仿宋"/>
          <w:kern w:val="2"/>
          <w:sz w:val="32"/>
          <w:szCs w:val="32"/>
          <w:lang w:val="en-US" w:eastAsia="zh-CN"/>
        </w:rPr>
      </w:pPr>
      <w:r>
        <w:rPr>
          <w:rFonts w:ascii="Times New Roman" w:eastAsia="方正公文仿宋" w:cs="Times New Roman" w:hAnsi="Times New Roman"/>
          <w:sz w:val="32"/>
          <w:szCs w:val="32"/>
        </w:rPr>
        <w:t>噻虫胺是新烟碱类中的一种杀虫剂，是一类高效安全、高选择性的新型杀虫剂，主要用于水稻、蔬菜、果树及其他作物上防治蚜虫、叶蝉、蓟马、飞虱等半翅目、鞘翅目、双翅目和某些鳞翅目类害虫的杀虫剂</w:t>
      </w:r>
      <w:r>
        <w:rPr>
          <w:rFonts w:ascii="Times New Roman" w:eastAsia="方正公文仿宋" w:cs="Times New Roman" w:hAnsi="Times New Roman"/>
          <w:sz w:val="32"/>
          <w:szCs w:val="32"/>
        </w:rPr>
        <w:t>。</w:t>
      </w:r>
      <w:r>
        <w:rPr>
          <w:rFonts w:eastAsia="方正公文仿宋"/>
          <w:sz w:val="32"/>
          <w:szCs w:val="32"/>
          <w:lang w:val="en-US" w:eastAsia="zh-CN"/>
        </w:rPr>
        <w:t>少量的残留不会引起人体急性中毒，但长期食用噻虫胺超标的食品，对人体健康可能有一定影响。</w:t>
      </w:r>
      <w:r>
        <w:rPr>
          <w:rFonts w:ascii="Times New Roman" w:eastAsia="方正公文仿宋" w:cs="Times New Roman" w:hAnsi="Times New Roman"/>
          <w:sz w:val="32"/>
          <w:szCs w:val="32"/>
          <w:lang w:val="zh-CN" w:eastAsia="zh-CN"/>
        </w:rPr>
        <w:t>《食品安全国家标准 食品中农药最大残留限量》（GB 2763-2021）中规定，</w:t>
      </w:r>
      <w:r>
        <w:rPr>
          <w:rFonts w:ascii="Times New Roman" w:eastAsia="方正公文仿宋" w:cs="Times New Roman" w:hAnsi="Times New Roman"/>
          <w:sz w:val="32"/>
          <w:szCs w:val="32"/>
          <w:lang w:val="en-US" w:eastAsia="zh-CN"/>
        </w:rPr>
        <w:t>噻虫胺</w:t>
      </w:r>
      <w:r>
        <w:rPr>
          <w:rFonts w:ascii="Times New Roman" w:eastAsia="方正公文仿宋" w:cs="Times New Roman" w:hAnsi="Times New Roman"/>
          <w:sz w:val="32"/>
          <w:szCs w:val="32"/>
          <w:lang w:val="zh-CN" w:eastAsia="zh-CN"/>
        </w:rPr>
        <w:t>在</w:t>
      </w:r>
      <w:r>
        <w:rPr>
          <w:rFonts w:ascii="Times New Roman" w:eastAsia="方正公文仿宋" w:cs="Times New Roman" w:hAnsi="Times New Roman"/>
          <w:sz w:val="32"/>
          <w:szCs w:val="32"/>
          <w:lang w:val="en-US" w:eastAsia="zh-CN"/>
        </w:rPr>
        <w:t>胡萝卜</w:t>
      </w:r>
      <w:r>
        <w:rPr>
          <w:rFonts w:ascii="Times New Roman" w:eastAsia="方正公文仿宋" w:cs="Times New Roman" w:hAnsi="Times New Roman"/>
          <w:sz w:val="32"/>
          <w:szCs w:val="32"/>
          <w:lang w:val="zh-CN" w:eastAsia="zh-CN"/>
        </w:rPr>
        <w:t>中的最大残留限量为</w:t>
      </w:r>
      <w:r>
        <w:rPr>
          <w:rFonts w:ascii="Times New Roman" w:eastAsia="方正公文仿宋" w:cs="Times New Roman" w:hAnsi="Times New Roman"/>
          <w:sz w:val="32"/>
          <w:szCs w:val="32"/>
          <w:lang w:val="en-US" w:eastAsia="zh-CN"/>
        </w:rPr>
        <w:t>0.2</w:t>
      </w:r>
      <w:r>
        <w:rPr>
          <w:rFonts w:ascii="Times New Roman" w:eastAsia="方正公文仿宋" w:cs="Times New Roman" w:hAnsi="Times New Roman"/>
          <w:sz w:val="32"/>
          <w:szCs w:val="32"/>
          <w:lang w:val="zh-CN" w:eastAsia="zh-CN"/>
        </w:rPr>
        <w:t>mg/kg</w:t>
      </w:r>
      <w:r>
        <w:rPr>
          <w:rFonts w:ascii="Times New Roman" w:eastAsia="方正公文仿宋" w:cs="Times New Roman" w:hAnsi="Times New Roman"/>
          <w:sz w:val="32"/>
          <w:szCs w:val="32"/>
          <w:lang w:val="zh-CN" w:eastAsia="zh-CN"/>
        </w:rPr>
        <w:t>，</w:t>
      </w:r>
      <w:r>
        <w:rPr>
          <w:rFonts w:eastAsia="方正公文仿宋"/>
          <w:sz w:val="32"/>
          <w:szCs w:val="32"/>
          <w:lang w:val="en-US" w:eastAsia="zh-CN"/>
        </w:rPr>
        <w:t>在茄果类蔬菜中的最大残留限量值为0.05mg/kg</w:t>
      </w:r>
      <w:r>
        <w:rPr>
          <w:rFonts w:ascii="Times New Roman" w:eastAsia="方正公文仿宋" w:cs="Times New Roman" w:hAnsi="Times New Roman"/>
          <w:sz w:val="32"/>
          <w:szCs w:val="32"/>
          <w:lang w:val="zh-CN" w:eastAsia="zh-CN"/>
        </w:rPr>
        <w:t>。</w:t>
      </w:r>
      <w:r>
        <w:rPr>
          <w:rFonts w:ascii="Times New Roman" w:eastAsia="方正公文仿宋" w:cs="Times New Roman" w:hAnsi="Times New Roman"/>
          <w:sz w:val="32"/>
          <w:szCs w:val="32"/>
          <w:lang w:val="en-US" w:eastAsia="zh-CN"/>
        </w:rPr>
        <w:t>造成噻虫胺</w:t>
      </w:r>
      <w:r>
        <w:rPr>
          <w:rFonts w:ascii="Times New Roman" w:eastAsia="方正公文仿宋" w:cs="Times New Roman" w:hAnsi="Times New Roman"/>
          <w:sz w:val="32"/>
          <w:szCs w:val="32"/>
        </w:rPr>
        <w:t>残留超标的原因可能是一些农户为了快速控制病虫害过量使用农药、或者用药后安全间隔期未到就急于上市、缺乏科学用药方法、以及病虫害抗药性增强等因素，从而导致农药残留超标‌。</w:t>
      </w:r>
    </w:p>
    <w:p>
      <w:pPr>
        <w:snapToGrid w:val="0"/>
        <w:spacing w:line="560" w:lineRule="exact"/>
        <w:ind w:left="0" w:firstLineChars="200" w:firstLine="592"/>
        <w:rPr>
          <w:rFonts w:eastAsia="方正公文黑体"/>
          <w:spacing w:val="-12"/>
          <w:sz w:val="32"/>
          <w:szCs w:val="32"/>
        </w:rPr>
      </w:pPr>
      <w:r>
        <w:rPr>
          <w:rFonts w:eastAsia="方正公文黑体"/>
          <w:spacing w:val="-12"/>
          <w:sz w:val="32"/>
          <w:szCs w:val="32"/>
        </w:rPr>
        <w:t>二、阴离子合成洗涤剂(以十二烷基苯磺酸钠计)</w:t>
      </w:r>
    </w:p>
    <w:p>
      <w:pPr>
        <w:widowControl w:val="0"/>
        <w:snapToGrid w:val="0"/>
        <w:spacing w:line="560" w:lineRule="exact"/>
        <w:ind w:firstLineChars="200" w:firstLine="640"/>
        <w:jc w:val="both"/>
        <w:rPr>
          <w:rFonts w:eastAsia="方正公文仿宋"/>
          <w:sz w:val="32"/>
          <w:szCs w:val="32"/>
        </w:rPr>
      </w:pPr>
      <w:r>
        <w:rPr>
          <w:rFonts w:eastAsia="方正公文仿宋"/>
          <w:sz w:val="32"/>
          <w:szCs w:val="32"/>
        </w:rPr>
        <w:t>阴离子合成洗涤剂是日常生活中经常用到的洗衣粉、洗洁精、洗衣液、肥皂等洗涤剂的主要成分，其主要成分十二烷基磺酸钠，是一种低毒物质，因其使用方便、易溶解、稳定性好、成本低等优点，在消毒企业中广泛使用，但是如果餐具清洗消毒流程控制不当，会造成洗涤剂在餐具上的残留过量，对人体健康产生不良影响。GB 14934-2016《食品安全国家标准消毒餐（饮）具》规定，采用化学消毒法的餐（饮）具的阴离子合成洗涤剂应不得检出。造成超标的原因</w:t>
      </w:r>
      <w:r>
        <w:rPr>
          <w:rFonts w:eastAsia="方正公文仿宋"/>
          <w:sz w:val="32"/>
          <w:szCs w:val="32"/>
        </w:rPr>
        <w:t>可能</w:t>
      </w:r>
      <w:r>
        <w:rPr>
          <w:rFonts w:eastAsia="方正公文仿宋"/>
          <w:sz w:val="32"/>
          <w:szCs w:val="32"/>
        </w:rPr>
        <w:t>是清洗餐具所用洗涤剂、消毒剂不合格</w:t>
      </w:r>
      <w:r>
        <w:rPr>
          <w:rFonts w:eastAsia="方正公文仿宋"/>
          <w:sz w:val="32"/>
          <w:szCs w:val="32"/>
        </w:rPr>
        <w:t>，</w:t>
      </w:r>
      <w:r>
        <w:rPr>
          <w:rFonts w:eastAsia="方正公文仿宋"/>
          <w:sz w:val="32"/>
          <w:szCs w:val="32"/>
        </w:rPr>
        <w:t>如果用于清洗餐具的洗涤剂、消毒剂不符合标准，这样不仅清洗不干净餐具反而会造成二次污染。</w:t>
      </w:r>
      <w:r>
        <w:rPr>
          <w:rFonts w:eastAsia="方正公文仿宋"/>
          <w:sz w:val="32"/>
          <w:szCs w:val="32"/>
        </w:rPr>
        <w:t>也可能</w:t>
      </w:r>
      <w:r>
        <w:rPr>
          <w:rFonts w:eastAsia="方正公文仿宋"/>
          <w:sz w:val="32"/>
          <w:szCs w:val="32"/>
        </w:rPr>
        <w:t>是洗涤剂或消毒剂未彻底冲洗干净。使用了过量的洗涤剂、消毒剂或水冲洗不充分、不彻底造成。</w:t>
      </w:r>
    </w:p>
    <w:p>
      <w:pPr>
        <w:pStyle w:val="15"/>
        <w:snapToGrid w:val="0"/>
        <w:spacing w:line="560" w:lineRule="exact"/>
        <w:ind w:left="0" w:firstLineChars="200" w:firstLine="640"/>
        <w:rPr>
          <w:rFonts w:ascii="方正公文黑体" w:eastAsia="方正公文黑体" w:cs="方正公文黑体" w:hAnsi="方正公文黑体" w:hint="eastAsia"/>
          <w:sz w:val="32"/>
          <w:szCs w:val="32"/>
        </w:rPr>
      </w:pPr>
      <w:r>
        <w:rPr>
          <w:rFonts w:ascii="方正公文黑体" w:eastAsia="方正公文黑体" w:cs="方正公文黑体" w:hAnsi="方正公文黑体" w:hint="eastAsia"/>
          <w:sz w:val="32"/>
          <w:szCs w:val="32"/>
        </w:rPr>
        <w:t>三、铝的残留量(干样品</w:t>
      </w:r>
      <w:r>
        <w:rPr>
          <w:rFonts w:ascii="方正公文黑体" w:eastAsia="方正公文黑体" w:cs="方正公文黑体" w:hAnsi="方正公文黑体" w:hint="eastAsia"/>
          <w:sz w:val="32"/>
          <w:szCs w:val="32"/>
        </w:rPr>
        <w:t>，</w:t>
      </w:r>
      <w:r>
        <w:rPr>
          <w:rFonts w:ascii="方正公文黑体" w:eastAsia="方正公文黑体" w:cs="方正公文黑体" w:hAnsi="方正公文黑体" w:hint="eastAsia"/>
          <w:sz w:val="32"/>
          <w:szCs w:val="32"/>
        </w:rPr>
        <w:t>以Al计)</w:t>
      </w:r>
    </w:p>
    <w:p>
      <w:pPr>
        <w:pStyle w:val="15"/>
        <w:snapToGrid w:val="0"/>
        <w:spacing w:line="560" w:lineRule="exact"/>
        <w:ind w:left="0" w:firstLineChars="200" w:firstLine="640"/>
        <w:rPr>
          <w:rFonts w:eastAsia="方正公文仿宋"/>
          <w:sz w:val="32"/>
          <w:szCs w:val="32"/>
        </w:rPr>
      </w:pPr>
      <w:r>
        <w:rPr>
          <w:rFonts w:eastAsia="方正公文仿宋"/>
          <w:sz w:val="32"/>
          <w:szCs w:val="32"/>
        </w:rPr>
        <w:t>含铝食品添加剂（硫酸铝钾、硫酸铝铵）可用作膨松剂、稳定剂、抗结剂和染色料等，使用后会产生铝残留。经常食用铝含量超标的食品会导致运动和学习记忆能力下降，并会影响儿童智力发育。GB 2760-2014《食品安全国家标准 食品添加剂使用标准》中规定，油条（自制）中铝的残留量(干样品,以Al计)最大限量为100mg/kg。油条中铝的残留量（干样品，以Al计）超出标准值的原因，可能是个别商家为增加产品口感，在生产加工过程中超限量使用含铝添加剂，也可能是其使用的复配食品添加剂含铝添加剂。</w:t>
      </w:r>
    </w:p>
    <w:p>
      <w:pPr>
        <w:snapToGrid w:val="0"/>
        <w:spacing w:line="560" w:lineRule="exact"/>
        <w:ind w:firstLineChars="200" w:firstLine="640"/>
        <w:rPr>
          <w:rFonts w:ascii="方正公文黑体" w:eastAsia="方正公文黑体" w:cs="方正公文黑体" w:hAnsi="方正公文黑体" w:hint="eastAsia"/>
          <w:sz w:val="32"/>
          <w:szCs w:val="32"/>
        </w:rPr>
      </w:pPr>
      <w:r>
        <w:rPr>
          <w:rFonts w:ascii="方正公文黑体" w:eastAsia="方正公文黑体" w:cs="方正公文黑体" w:hAnsi="方正公文黑体" w:hint="eastAsia"/>
          <w:sz w:val="32"/>
          <w:szCs w:val="32"/>
        </w:rPr>
        <w:t>四、水胺硫磷</w:t>
      </w:r>
    </w:p>
    <w:p>
      <w:pPr>
        <w:snapToGrid w:val="0"/>
        <w:spacing w:line="560" w:lineRule="exact"/>
        <w:ind w:firstLineChars="200" w:firstLine="640"/>
        <w:jc w:val="both"/>
        <w:rPr>
          <w:rFonts w:ascii="Times New Roman" w:eastAsia="方正公文仿宋" w:cs="Times New Roman" w:hAnsi="Times New Roman"/>
          <w:sz w:val="32"/>
          <w:szCs w:val="32"/>
          <w:lang w:eastAsia="zh-CN"/>
        </w:rPr>
      </w:pPr>
      <w:r>
        <w:rPr>
          <w:rFonts w:ascii="Times New Roman" w:eastAsia="方正公文仿宋" w:cs="Times New Roman" w:hAnsi="Times New Roman"/>
          <w:sz w:val="32"/>
          <w:szCs w:val="32"/>
        </w:rPr>
        <w:t>水胺硫磷属于有机磷类杀虫、杀螨剂，见效快，杀虫谱广泛，主要作用方式为胃毒、触杀以及杀卵，主要防治蛛形纲中的螨类和昆虫纲中的鳞翅目、同翅目昆虫</w:t>
      </w:r>
      <w:r>
        <w:rPr>
          <w:rFonts w:ascii="Times New Roman" w:eastAsia="方正公文仿宋" w:cs="Times New Roman" w:hAnsi="Times New Roman"/>
          <w:sz w:val="32"/>
          <w:szCs w:val="32"/>
          <w:lang w:eastAsia="zh-CN"/>
        </w:rPr>
        <w:t>，</w:t>
      </w:r>
      <w:r>
        <w:rPr>
          <w:rFonts w:ascii="Times New Roman" w:eastAsia="方正公文仿宋" w:cs="Times New Roman" w:hAnsi="Times New Roman"/>
          <w:sz w:val="32"/>
          <w:szCs w:val="32"/>
        </w:rPr>
        <w:t>是一种速效杀虫、杀螨剂。水胺硫磷对人畜毒性较高，可以通过食道、皮肤和呼吸道进入人体内，引起人体中毒。</w:t>
      </w:r>
      <w:r>
        <w:rPr>
          <w:rFonts w:ascii="Times New Roman" w:eastAsia="方正公文仿宋" w:cs="Times New Roman" w:hAnsi="Times New Roman"/>
          <w:sz w:val="32"/>
          <w:szCs w:val="32"/>
          <w:lang w:eastAsia="zh-CN"/>
        </w:rPr>
        <w:t>GB 2763-2021 《食品安全国家标准 食品中农药最大残留限量》</w:t>
      </w:r>
      <w:r>
        <w:rPr>
          <w:rFonts w:ascii="Times New Roman" w:eastAsia="方正公文仿宋" w:cs="Times New Roman" w:hAnsi="Times New Roman"/>
          <w:sz w:val="32"/>
          <w:szCs w:val="32"/>
        </w:rPr>
        <w:t>中规定，水胺硫磷在辣椒中的最大残留限量值为0.05mg/kg。长期食用水胺硫磷超标的食品，会对人体健康产生危害。</w:t>
      </w:r>
    </w:p>
    <w:p>
      <w:pPr>
        <w:snapToGrid w:val="0"/>
        <w:spacing w:line="560" w:lineRule="exact"/>
        <w:ind w:firstLineChars="200" w:firstLine="640"/>
        <w:rPr>
          <w:rFonts w:ascii="方正公文黑体" w:eastAsia="方正公文黑体" w:cs="方正公文黑体" w:hAnsi="方正公文黑体" w:hint="eastAsia"/>
          <w:sz w:val="32"/>
          <w:szCs w:val="32"/>
          <w:lang w:eastAsia="zh-CN"/>
        </w:rPr>
      </w:pPr>
      <w:r>
        <w:rPr>
          <w:rFonts w:ascii="方正公文黑体" w:eastAsia="方正公文黑体" w:cs="方正公文黑体" w:hAnsi="方正公文黑体" w:hint="eastAsia"/>
          <w:sz w:val="32"/>
          <w:szCs w:val="32"/>
          <w:lang w:eastAsia="zh-CN"/>
        </w:rPr>
        <w:t>五、毒死蜱</w:t>
      </w:r>
    </w:p>
    <w:p>
      <w:pPr>
        <w:snapToGrid w:val="0"/>
        <w:spacing w:line="560" w:lineRule="exact"/>
        <w:ind w:firstLineChars="200" w:firstLine="640"/>
        <w:rPr>
          <w:rFonts w:eastAsia="方正公文仿宋"/>
          <w:sz w:val="32"/>
          <w:szCs w:val="32"/>
        </w:rPr>
      </w:pPr>
      <w:r>
        <w:rPr>
          <w:rFonts w:ascii="Times New Roman" w:eastAsia="方正公文仿宋" w:cs="Times New Roman" w:hAnsi="Times New Roman"/>
          <w:sz w:val="32"/>
          <w:szCs w:val="32"/>
          <w:lang w:eastAsia="zh-CN"/>
        </w:rPr>
        <w:t>毒死蜱是一种中等毒性的有机磷杀虫剂，具有触杀、胃毒和熏蒸作用，能较好的防</w:t>
      </w:r>
      <w:r>
        <w:rPr>
          <w:rFonts w:ascii="Times New Roman" w:eastAsia="方正公文仿宋" w:cs="Times New Roman" w:hAnsi="Times New Roman"/>
          <w:sz w:val="32"/>
          <w:szCs w:val="32"/>
          <w:lang w:val="en-US" w:eastAsia="zh-CN"/>
        </w:rPr>
        <w:t>治</w:t>
      </w:r>
      <w:r>
        <w:rPr>
          <w:rFonts w:ascii="Times New Roman" w:eastAsia="方正公文仿宋" w:cs="Times New Roman" w:hAnsi="Times New Roman"/>
          <w:sz w:val="32"/>
          <w:szCs w:val="32"/>
          <w:lang w:eastAsia="zh-CN"/>
        </w:rPr>
        <w:t>多种作物的地上和地下害虫。但是毒死蜱具有环境持久性和生物蓄积性,它能通过人们的饮水、食物、住所、甚至呼吸的空气进人体内,如果长期食用含毒死蜱超标的蔬菜，食用者会有头痛、头晕、恶心、呕吐等症状。GB 2763-2021 《食品安全国家标准 食品中农药最大残留限量》</w:t>
      </w:r>
      <w:r>
        <w:rPr>
          <w:rFonts w:ascii="Times New Roman" w:eastAsia="方正公文仿宋" w:cs="Times New Roman" w:hAnsi="Times New Roman"/>
          <w:sz w:val="32"/>
          <w:szCs w:val="32"/>
        </w:rPr>
        <w:t>中规定，毒死蜱在</w:t>
      </w:r>
      <w:r>
        <w:rPr>
          <w:rFonts w:ascii="Times New Roman" w:eastAsia="方正公文仿宋" w:cs="Times New Roman" w:hAnsi="Times New Roman"/>
          <w:sz w:val="32"/>
          <w:szCs w:val="32"/>
          <w:lang w:val="en-US" w:eastAsia="zh-CN"/>
        </w:rPr>
        <w:t>番茄</w:t>
      </w:r>
      <w:r>
        <w:rPr>
          <w:rFonts w:ascii="Times New Roman" w:eastAsia="方正公文仿宋" w:cs="Times New Roman" w:hAnsi="Times New Roman"/>
          <w:sz w:val="32"/>
          <w:szCs w:val="32"/>
        </w:rPr>
        <w:t>中的最大残留限量值为0.0</w:t>
      </w:r>
      <w:r>
        <w:rPr>
          <w:rFonts w:ascii="Times New Roman" w:eastAsia="方正公文仿宋" w:cs="Times New Roman" w:hAnsi="Times New Roman"/>
          <w:sz w:val="32"/>
          <w:szCs w:val="32"/>
          <w:lang w:val="en-US" w:eastAsia="zh-CN"/>
        </w:rPr>
        <w:t>2</w:t>
      </w:r>
      <w:r>
        <w:rPr>
          <w:rFonts w:ascii="Times New Roman" w:eastAsia="方正公文仿宋" w:cs="Times New Roman" w:hAnsi="Times New Roman"/>
          <w:sz w:val="32"/>
          <w:szCs w:val="32"/>
        </w:rPr>
        <w:t>mg/kg。</w:t>
      </w:r>
      <w:r>
        <w:rPr>
          <w:rFonts w:ascii="Times New Roman" w:eastAsia="方正公文仿宋" w:cs="Times New Roman" w:hAnsi="Times New Roman"/>
          <w:sz w:val="32"/>
          <w:szCs w:val="32"/>
          <w:lang w:val="en-US" w:eastAsia="zh-CN"/>
        </w:rPr>
        <w:t>番茄</w:t>
      </w:r>
      <w:r>
        <w:rPr>
          <w:rFonts w:ascii="Times New Roman" w:eastAsia="方正公文仿宋" w:cs="Times New Roman" w:hAnsi="Times New Roman"/>
          <w:sz w:val="32"/>
          <w:szCs w:val="32"/>
          <w:lang w:eastAsia="zh-CN"/>
        </w:rPr>
        <w:t>中检出毒死蜱超标</w:t>
      </w:r>
      <w:r>
        <w:rPr>
          <w:rFonts w:ascii="Times New Roman" w:eastAsia="方正公文仿宋" w:cs="Times New Roman" w:hAnsi="Times New Roman"/>
          <w:sz w:val="32"/>
          <w:szCs w:val="32"/>
          <w:lang w:eastAsia="zh-CN"/>
        </w:rPr>
        <w:t>的</w:t>
      </w:r>
      <w:r>
        <w:rPr>
          <w:rFonts w:ascii="Times New Roman" w:eastAsia="方正公文仿宋" w:cs="Times New Roman" w:hAnsi="Times New Roman"/>
          <w:sz w:val="32"/>
          <w:szCs w:val="32"/>
          <w:lang w:eastAsia="zh-CN"/>
        </w:rPr>
        <w:t>原因</w:t>
      </w:r>
      <w:r>
        <w:rPr>
          <w:rFonts w:ascii="Times New Roman" w:eastAsia="方正公文仿宋" w:cs="Times New Roman" w:hAnsi="Times New Roman"/>
          <w:sz w:val="32"/>
          <w:szCs w:val="32"/>
          <w:lang w:eastAsia="zh-CN"/>
        </w:rPr>
        <w:t>可能</w:t>
      </w:r>
      <w:r>
        <w:rPr>
          <w:rFonts w:ascii="Times New Roman" w:eastAsia="方正公文仿宋" w:cs="Times New Roman" w:hAnsi="Times New Roman"/>
          <w:sz w:val="32"/>
          <w:szCs w:val="32"/>
          <w:lang w:eastAsia="zh-CN"/>
        </w:rPr>
        <w:t>是种植者没有正确使用农药，在喷洒农药之后没有等待</w:t>
      </w:r>
      <w:r>
        <w:rPr>
          <w:rFonts w:eastAsia="方正公文仿宋"/>
          <w:sz w:val="32"/>
          <w:szCs w:val="32"/>
        </w:rPr>
        <w:t>农药渡过分解期就急于上市有关。也可能是长期不规范使用导致在土壤等环境中蓄积，进而导致其在蔬菜中的再残留。</w:t>
      </w:r>
    </w:p>
    <w:p>
      <w:pPr>
        <w:snapToGrid w:val="0"/>
        <w:spacing w:line="560" w:lineRule="exact"/>
        <w:ind w:firstLineChars="200" w:firstLine="640"/>
        <w:rPr>
          <w:rFonts w:ascii="方正公文黑体" w:eastAsia="方正公文黑体" w:cs="方正公文黑体" w:hAnsi="方正公文黑体" w:hint="eastAsia"/>
          <w:sz w:val="32"/>
          <w:szCs w:val="32"/>
          <w:lang w:val="en-US"/>
        </w:rPr>
      </w:pPr>
      <w:r>
        <w:rPr>
          <w:rFonts w:ascii="方正公文黑体" w:eastAsia="方正公文黑体" w:cs="方正公文黑体" w:hAnsi="方正公文黑体" w:hint="eastAsia"/>
          <w:sz w:val="32"/>
          <w:szCs w:val="32"/>
          <w:lang w:val="en-US"/>
        </w:rPr>
        <w:t>六、二氧化硫残留量不合格小常识</w:t>
      </w:r>
    </w:p>
    <w:p>
      <w:pPr>
        <w:snapToGrid w:val="0"/>
        <w:spacing w:line="560" w:lineRule="exact"/>
        <w:ind w:firstLineChars="200" w:firstLine="640"/>
        <w:jc w:val="both"/>
        <w:rPr>
          <w:rStyle w:val="0"/>
          <w:rFonts w:eastAsia="方正公文仿宋"/>
          <w:sz w:val="32"/>
          <w:szCs w:val="32"/>
          <w:lang w:eastAsia="zh-CN"/>
        </w:rPr>
      </w:pPr>
      <w:r>
        <w:rPr>
          <w:rFonts w:eastAsia="方正公文仿宋"/>
          <w:sz w:val="32"/>
          <w:szCs w:val="32"/>
          <w:lang w:val="en-US"/>
        </w:rPr>
        <w:t>二氧化硫是食品加工中常用的漂白剂、防腐剂和抗氧化剂。通常情况下该物质以焦亚硫酸钾、焦亚硫酸钠、亚硫酸钠、亚硫酸氢钠、低亚硫酸钠等亚硫酸盐的形式添加于食品中，或采用硫磺熏蒸的方式用于食品处理，发挥着防腐、漂</w:t>
      </w:r>
      <w:r>
        <w:rPr>
          <w:rFonts w:eastAsia="方正公文仿宋"/>
          <w:sz w:val="32"/>
          <w:szCs w:val="32"/>
          <w:lang w:val="en-US" w:eastAsia="zh-CN"/>
        </w:rPr>
        <w:t>白的作用。少量二氧化硫进入人体不会对身体带来健康危害，但若过量摄入可能会引发呼吸困难、腹泻、呕吐等症状。GB 2760-2014《食品安全国家标准 食品添加剂使用标准》中规定，食用农产品姜中不得使用二氧化硫。</w:t>
      </w:r>
      <w:r>
        <w:rPr>
          <w:rFonts w:ascii="方正公文仿宋" w:eastAsia="方正公文仿宋" w:cs="方正公文仿宋" w:hAnsi="方正公文仿宋" w:hint="eastAsia"/>
          <w:sz w:val="32"/>
          <w:szCs w:val="32"/>
          <w:lang w:val="en-US" w:eastAsia="zh-CN"/>
        </w:rPr>
        <w:t>生姜中二氧化硫残</w:t>
      </w:r>
      <w:r>
        <w:rPr>
          <w:rStyle w:val="0"/>
          <w:rFonts w:eastAsia="方正公文仿宋"/>
          <w:sz w:val="32"/>
          <w:szCs w:val="32"/>
          <w:lang w:val="en-US" w:eastAsia="zh-CN"/>
        </w:rPr>
        <w:t>留量超标的原因，可能是生产者为了让生姜保鲜保色，经久</w:t>
      </w:r>
      <w:r>
        <w:rPr>
          <w:rStyle w:val="0"/>
          <w:rFonts w:eastAsia="方正公文仿宋"/>
          <w:sz w:val="32"/>
          <w:szCs w:val="32"/>
          <w:lang w:eastAsia="zh-CN"/>
        </w:rPr>
        <w:t>耐放，违规使用焦亚硫酸钠浸泡，或者经硫磺熏制等方法，使生姜看起来更加新鲜、亮白。</w:t>
      </w:r>
    </w:p>
    <w:p>
      <w:pPr>
        <w:snapToGrid w:val="0"/>
        <w:spacing w:line="560" w:lineRule="exact"/>
        <w:ind w:firstLineChars="200" w:firstLine="640"/>
        <w:jc w:val="both"/>
        <w:rPr>
          <w:rStyle w:val="0"/>
          <w:rFonts w:ascii="方正公文黑体" w:eastAsia="方正公文黑体" w:cs="方正公文黑体" w:hAnsi="方正公文黑体" w:hint="eastAsia"/>
          <w:sz w:val="32"/>
          <w:szCs w:val="32"/>
          <w:lang w:eastAsia="zh-CN"/>
        </w:rPr>
      </w:pPr>
      <w:r>
        <w:rPr>
          <w:rStyle w:val="0"/>
          <w:rFonts w:ascii="方正公文黑体" w:eastAsia="方正公文黑体" w:cs="方正公文黑体" w:hAnsi="方正公文黑体" w:hint="eastAsia"/>
          <w:sz w:val="32"/>
          <w:szCs w:val="32"/>
          <w:lang w:eastAsia="zh-CN"/>
        </w:rPr>
        <w:t>七、菌落总数</w:t>
      </w:r>
    </w:p>
    <w:p>
      <w:pPr>
        <w:snapToGrid w:val="0"/>
        <w:spacing w:line="560" w:lineRule="exact"/>
        <w:ind w:firstLineChars="200" w:firstLine="640"/>
        <w:jc w:val="both"/>
        <w:rPr>
          <w:rFonts w:eastAsia="方正公文仿宋"/>
          <w:sz w:val="32"/>
          <w:szCs w:val="32"/>
        </w:rPr>
      </w:pPr>
      <w:r>
        <w:rPr>
          <w:rStyle w:val="0"/>
          <w:rFonts w:eastAsia="方正公文仿宋"/>
          <w:sz w:val="32"/>
          <w:szCs w:val="32"/>
          <w:lang w:eastAsia="zh-CN"/>
        </w:rPr>
        <w:t>菌落总数是指示性微生物指标，不是致病菌指标，反映食品在生产过程中的卫生状况。如果食品的菌落总数严重超标，将会破坏食品的营养成分，使食品失去食用价</w:t>
      </w:r>
      <w:r>
        <w:rPr>
          <w:rStyle w:val="0"/>
          <w:rFonts w:eastAsia="方正公文仿宋"/>
          <w:sz w:val="32"/>
          <w:szCs w:val="32"/>
          <w:lang w:val="en-US" w:eastAsia="zh-CN"/>
        </w:rPr>
        <w:t>值，并加速食品腐败变质，可能危害人体健康。GB 7101-2022《食品安全国家标准 饮料》中规定，饮料同一批次产品5个样品的菌落总数检测结果均不得超过10⁴CFU/mL，且最多允许2个样品的检测结果超过10²CFU/mL。</w:t>
      </w:r>
      <w:r>
        <w:rPr>
          <w:rFonts w:eastAsia="方正公文仿宋"/>
          <w:sz w:val="32"/>
          <w:szCs w:val="32"/>
          <w:lang w:val="en-US" w:eastAsia="zh-CN"/>
        </w:rPr>
        <w:t>菌落总数超标的原因，可能是企业未按要求严格控制生产加工过程的卫生条件，或</w:t>
      </w:r>
      <w:bookmarkStart w:id="0" w:name="_GoBack"/>
      <w:bookmarkEnd w:id="0"/>
      <w:r>
        <w:rPr>
          <w:rFonts w:eastAsia="方正公文仿宋"/>
          <w:sz w:val="32"/>
          <w:szCs w:val="32"/>
          <w:lang w:val="en-US" w:eastAsia="zh-CN"/>
        </w:rPr>
        <w:t>者包装容器清洗消毒不到位，也可能与产品包装密封不严或储运条件不当等有关。</w:t>
      </w:r>
    </w:p>
    <w:p>
      <w:pPr>
        <w:keepNext w:val="0"/>
        <w:keepLines w:val="0"/>
        <w:widowControl/>
        <w:suppressLineNumbers w:val="0"/>
        <w:snapToGrid w:val="0"/>
        <w:spacing w:line="560" w:lineRule="exact"/>
        <w:ind w:firstLineChars="200" w:firstLine="640"/>
        <w:jc w:val="both"/>
        <w:rPr>
          <w:rFonts w:eastAsia="方正公文仿宋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ind w:firstLineChars="200" w:firstLine="640"/>
        <w:rPr>
          <w:rFonts w:eastAsia="方正公文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公文黑体">
    <w:panose1 w:val="02000500000000000000"/>
    <w:charset w:val="86"/>
    <w:family w:val="script"/>
    <w:pitch w:val="variable"/>
    <w:sig w:usb0="A00002BF" w:usb1="38CF7CFA" w:usb2="00000016" w:usb3="00000000" w:csb0="00040001" w:csb1="00000000"/>
  </w:font>
  <w:font w:name="方正公文小标宋">
    <w:panose1 w:val="02000500000000000000"/>
    <w:charset w:val="86"/>
    <w:family w:val="script"/>
    <w:pitch w:val="variable"/>
    <w:sig w:usb0="A00002BF" w:usb1="38CF7CFA" w:usb2="00000016" w:usb3="00000000" w:csb0="00040001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公文仿宋">
    <w:panose1 w:val="02000500000000000000"/>
    <w:charset w:val="86"/>
    <w:family w:val="script"/>
    <w:pitch w:val="variable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Lucida Sans">
    <w:altName w:val="Arial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ourier New">
    <w:panose1 w:val="020704090202050904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16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1"/>
  <w:characterSpacingControl w:val="compressPunctuation"/>
  <w:compat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next w:val="15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basedOn w:val="0"/>
    <w:next w:val="0"/>
    <w:pPr>
      <w:keepNext/>
      <w:keepLines/>
      <w:widowControl w:val="0"/>
      <w:snapToGrid w:val="0"/>
      <w:spacing w:before="160" w:beforeAutospacing="0" w:after="160" w:afterAutospacing="0" w:line="324" w:lineRule="auto"/>
      <w:jc w:val="both"/>
      <w:outlineLvl w:val="3"/>
    </w:pPr>
    <w:rPr>
      <w:rFonts w:ascii="Arial" w:eastAsia="黑体" w:cs="Times New Roman" w:hAnsi="Arial"/>
      <w:b/>
      <w:kern w:val="2"/>
      <w:sz w:val="28"/>
      <w:szCs w:val="21"/>
      <w:lang w:val="en-US" w:eastAsia="zh-CN" w:bidi="ar-SA"/>
    </w:rPr>
  </w:style>
  <w:style w:type="character" w:default="1" w:styleId="10">
    <w:name w:val="Default Paragraph Font"/>
  </w:style>
  <w:style w:type="paragraph" w:styleId="15">
    <w:name w:val="index 5"/>
    <w:basedOn w:val="0"/>
    <w:autoRedefine/>
    <w:next w:val="0"/>
    <w:pPr>
      <w:ind w:left="1680"/>
    </w:pPr>
    <w:rPr>
      <w:rFonts w:ascii="方正公文黑体" w:eastAsia="方正公文黑体" w:cs="方正公文黑体" w:hAnsi="方正公文黑体"/>
    </w:rPr>
  </w:style>
  <w:style w:type="paragraph" w:styleId="16">
    <w:name w:val="Body Text First Indent 2"/>
    <w:basedOn w:val="0"/>
    <w:next w:val="15"/>
    <w:pPr>
      <w:spacing w:after="120"/>
      <w:ind w:leftChars="200" w:left="200" w:firstLineChars="200" w:firstLine="200"/>
    </w:pPr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character" w:styleId="17">
    <w:name w:val="Hyperlink"/>
    <w:basedOn w:val="10"/>
    <w:rPr>
      <w:color w:val="0000FF"/>
      <w:u w:val="single"/>
    </w:rPr>
  </w:style>
  <w:style w:type="paragraph" w:styleId="18">
    <w:name w:val="Normal (Web)"/>
    <w:basedOn w:val="0"/>
    <w:pPr>
      <w:widowControl w:val="0"/>
      <w:spacing w:beforeAutospacing="1" w:afterAutospacing="1"/>
      <w:jc w:val="left"/>
    </w:pPr>
    <w:rPr>
      <w:rFonts w:ascii="Times New Roman" w:eastAsia="宋体" w:cs="Times New Roman" w:hAnsi="Times New Roman"/>
      <w:kern w:val="0"/>
      <w:sz w:val="24"/>
      <w:szCs w:val="21"/>
      <w:lang w:val="en-US" w:eastAsia="zh-CN" w:bidi="ar-SA"/>
    </w:rPr>
  </w:style>
  <w:style w:type="paragraph" w:styleId="19">
    <w:name w:val="HTML Preformatted"/>
    <w:basedOn w:val="0"/>
    <w:next w:val="15"/>
    <w:rPr>
      <w:rFonts w:ascii="Courier New" w:eastAsia="宋体" w:cs="Courier New" w:hAnsi="Courier New"/>
      <w:sz w:val="20"/>
      <w:szCs w:val="20"/>
      <w:lang w:val="en-US" w:eastAsia="zh-CN" w:bidi="ar-SA"/>
    </w:rPr>
  </w:style>
  <w:style w:type="paragraph" w:styleId="49">
    <w:name w:val="table of authorities"/>
    <w:basedOn w:val="0"/>
    <w:next w:val="0"/>
    <w:pPr>
      <w:ind w:leftChars="200" w:left="200"/>
    </w:pPr>
    <w:rPr>
      <w:rFonts w:ascii="Times New Roman" w:eastAsia="宋体" w:cs="Times New Roman" w:hAnsi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"/>
    <sectPr/>
  </customProps>
</customData>
</file>

<file path=customXml/itemProps1.xml><?xml version="1.0" encoding="utf-8"?>
<ds:datastoreItem xmlns:ds="http://schemas.openxmlformats.org/officeDocument/2006/customXml" ds:itemID="{DCA381EB-DE94-471A-AF42-7447E048DA0B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4533</TotalTime>
  <Application>Yozo_Office27021597764231179</Application>
  <Pages>4</Pages>
  <Words>0</Words>
  <Characters>1516</Characters>
  <Lines>0</Lines>
  <Paragraphs>20</Paragraphs>
  <CharactersWithSpaces>2022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uos</dc:creator>
  <cp:lastModifiedBy>uos</cp:lastModifiedBy>
  <cp:revision>1</cp:revision>
  <dcterms:created xsi:type="dcterms:W3CDTF">2024-09-10T03:10:59Z</dcterms:created>
  <dcterms:modified xsi:type="dcterms:W3CDTF">2024-09-23T07:24:44Z</dcterms:modified>
</cp:coreProperties>
</file>