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一、防腐剂混合使用时各自用量占其最大使用量的比例之和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0000FF"/>
          <w:spacing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防腐剂是常见的食品添加剂，指天然或合成的化学成分，用于延缓或抑制由微生物引起的食品腐败变质。长期食用防腐剂超标的食品，对人体健康可能产生一定影响。《食品安全国家标准 食品添加剂使用标准》（GB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2014）中规定，防腐剂在混合使用时各自用量占其最大使用量的比例之和不应超过1。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铝的残留量（以即食海蜇中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2760—2014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三、毒死蜱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毒死蜱是一种硫代磷酸酯类有机磷杀虫剂，具有良好的触杀、胃毒和熏蒸作用。少量的残留不会引起人体急性中毒，但长期食用毒死蜱超标的食品，对人体健康可能有一定影响。《食品安全国家标准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2021）中规定，毒死蜱在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鳞茎类蔬菜和叶菜类蔬菜（芹菜除外）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中的最大残留限量值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为0.0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四、二氧化硫残留量</w:t>
      </w:r>
    </w:p>
    <w:p>
      <w:pPr>
        <w:spacing w:line="594" w:lineRule="exact"/>
        <w:ind w:firstLine="640" w:firstLineChars="200"/>
        <w:rPr>
          <w:rFonts w:hint="eastAsia" w:ascii="Times New Roman" w:hAnsi="Times New Roman" w:eastAsia="仿宋_GB2312" w:cs="Times New Roman"/>
          <w:color w:val="0000FF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二氧化硫是食品加工中常用的漂白剂、防腐剂和抗氧化剂，具有漂白、防腐和抗氧化作用。少量二氧化硫进入人体不会对身体健康造成危害，但长期食用二氧化硫超标的食品，对人体健康可能有一定影响。《食品安全国家标准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腌渍的蔬菜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中二氧化硫（以二氧化硫残留量计）的最大使用量为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；其他香辛料调味品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不得使用二氧化硫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菌落总数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0000FF"/>
          <w:spacing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菌落总数是指示性微生物指标，不是致病菌指标，反映食品在生产过程中的卫生状况。如果食品的菌落总数严重超标，将会破坏食品的营养成分，使食品失去食用价值；还会加速食品腐败变质，可能危害人体健康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《食品安全国家标准 藻类及其制品》（GB 19643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中规定，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即食藻类制品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同一批次产品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5个样品的菌落总数检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均不得超过10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CFU/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g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，且最多允许2个样品的检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超过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CFU/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g</w:t>
      </w:r>
      <w:r>
        <w:rPr>
          <w:rFonts w:hint="eastAsia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六、甜蜜素（以环己基氨基磺酸计）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0000FF"/>
          <w:spacing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甜蜜素，化学名称为环己基氨基磺酸钠，是食品生产中常用的甜味剂之一，甜度是蔗糖的40—50倍。长期摄入甜蜜素超标的食品，可能对人体健康有一定影响。《食品安全国家标准 食品添加剂使用标准》（GB 2760—2014）中规定，在方便米面食品（仅限调味面制品）中最大使用限量为甜蜜素（以环己基氨基磺酸计）1.6g/kg。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七、脱氢乙酸及其钠盐（以脱氢乙酸计）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作为一种广谱食品防腐剂，对霉菌和酵母菌的抑制能力强。脱氢乙酸及其钠盐能被人体完全吸收，并能抑制人体内多种氧化酶，长期过量摄入脱氢乙酸及其钠盐超标的食品，对人体健康可能有一定影响。《食品安全国家标准 食品添加剂使用标准》（GB 2760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2014）中规定，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馒头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不得使用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脱氢乙酸及其钠盐（以脱氢乙酸计）。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ascii="Times New Roman" w:hAnsi="Times New Roman" w:eastAsia="黑体" w:cs="Times New Roman"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Calibri" w:hAnsi="Calibri" w:eastAsia="黑体" w:cs="黑体"/>
          <w:spacing w:val="-12"/>
          <w:kern w:val="2"/>
          <w:sz w:val="32"/>
          <w:szCs w:val="32"/>
          <w:highlight w:val="none"/>
          <w:lang w:val="en-US" w:eastAsia="zh-CN" w:bidi="ar-SA"/>
        </w:rPr>
        <w:t>山梨酸及其钾盐（以山梨酸计）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山梨酸及其钾盐抗菌性强，防腐效果好，是目前应用非常广泛的食品防腐剂。长期食用山梨酸及其钾盐超标的食品，对人体健康可能有一定影响。《食品安全国家标准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）中规定，豆腐中不得使用山梨酸及其钾盐（以山梨酸计）。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pacing w:val="-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eastAsia="zh-CN"/>
        </w:rPr>
        <w:t>九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、二氧化碳气容量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二氧化碳气容量是评价碳酸饮料质量的重要理化指标，其高低影响产品风味，充足的二氧化碳气容量能使碳酸饮料具有爽口感。二氧化碳气容量不合格会影响碳酸饮料的口感。《碳酸饮料（汽水）》（GB/T 10792—2008）中规定，碳酸饮料中二氧化碳气容量（20℃）应不低于1.5倍。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微软雅黑" w:hAnsi="微软雅黑" w:eastAsia="微软雅黑" w:cs="微软雅黑"/>
          <w:i w:val="0"/>
          <w:iCs w:val="0"/>
          <w:caps w:val="0"/>
          <w:color w:val="0000FF"/>
          <w:spacing w:val="0"/>
          <w:sz w:val="21"/>
          <w:szCs w:val="21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2FFFD54B"/>
    <w:rsid w:val="32747DEA"/>
    <w:rsid w:val="32971D72"/>
    <w:rsid w:val="329A7A35"/>
    <w:rsid w:val="43993170"/>
    <w:rsid w:val="44D426B2"/>
    <w:rsid w:val="49F70DBA"/>
    <w:rsid w:val="5ABD553F"/>
    <w:rsid w:val="62A019CE"/>
    <w:rsid w:val="74923249"/>
    <w:rsid w:val="78E33BC7"/>
    <w:rsid w:val="7E7E7E12"/>
    <w:rsid w:val="B7EB554D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3939</Words>
  <Characters>4280</Characters>
  <Lines>0</Lines>
  <Paragraphs>0</Paragraphs>
  <TotalTime>1</TotalTime>
  <ScaleCrop>false</ScaleCrop>
  <LinksUpToDate>false</LinksUpToDate>
  <CharactersWithSpaces>4322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2024-06-24T09:01:00Z</dcterms:created>
  <dc:creator>Administrator</dc:creator>
  <cp:lastModifiedBy>user</cp:lastModifiedBy>
  <dcterms:modified xsi:type="dcterms:W3CDTF">2024-11-22T10:26:08Z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</Properties>
</file>