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一、阴离子合成洗涤剂（以十二烷基苯磺酸钠计）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阴离子合成洗涤剂，即我们日常生活中经常用到的洗衣粉、洗洁精等洗涤剂的主要成分，其主要成分十二烷基磺酸钠，是一种低毒物质，因其使用方便、易溶解、稳定性好、成本低等优点，在消毒企业中广泛使用，但是如果餐（饮）具清洗消毒流程控制不当，会造成洗涤剂在餐（饮）具上的残留，对人体健康产生不良影响。《食品安全国家标准 消毒餐（饮）具》（GB 14934—2016）中规定采用化学消毒法的餐（饮）具的阴离子合成洗涤剂应不得检出。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  <w:t>二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铝的残留量（以即食海蜇中</w:t>
      </w:r>
      <w:r>
        <w:rPr>
          <w:rFonts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计）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含铝食品添加剂，比如硫酸铝钾（又名钾明矾）、硫酸铝铵（又名铵明矾）等，在食品中作为膨松剂、稳定剂使用，使用后会产生铝残留。含铝食品添加剂按标准使用不会对健康造成危害，但长期过量摄入铝超标的食品，对人体健康可能产生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2760—2014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）中规定，腌制水产品（仅限海蜇）中铝的残留量（以即食海蜇中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计）最大限量值为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500mg/kg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三、恩诺沙星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恩诺沙星属第三代喹诺酮类药物，是一类人工合成的广谱抗菌药，用于治疗动物的皮肤感染、呼吸道感染等，是动物专属用药。长期食用恩诺沙星残留超标的食品，对人体健康可能有一定影响。《食品安全国家标准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食品中兽药最大残留限量》（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31650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2019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）中规定，恩诺沙星在鱼的皮和肉中最大残留限量值为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100μg/kg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脱氢乙酸及其钠盐（以脱氢乙酸计）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脱氢乙酸及其钠盐作为一种广谱食品防腐剂，对霉菌和酵母菌的抑制能力强。脱氢乙酸及其钠盐能被人体完全吸收，并能抑制人体内多种氧化酶，长期过量摄入脱氢乙酸及其钠盐超标的食品，对人体健康可能有一定影响。《食品安全国家标准 食品添加剂使用标准》（GB 2760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2014）中规定，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小麦粉制品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不得使用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五、氯氟氰菊酯和高效氯氟氰菊酯</w:t>
      </w:r>
    </w:p>
    <w:p>
      <w:pPr>
        <w:pStyle w:val="5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氯氟氰菊酯和高效氯氟氰菊酯，属拟除虫菊酯类仿生物农药，中等毒性杀虫剂，对害虫和螨类具有强烈的触杀和胃毒作用。少量的农药残留不会引起人体急性中毒，但长期食用氯氟氰菊酯和高效氯氟氰菊酯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2021）中规定，氯氟氰菊酯和高效氯氟氰菊酯在韭菜中的最大残留限量值为0.5mg/kg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  <w:t>六、霉菌</w:t>
      </w:r>
    </w:p>
    <w:p>
      <w:pPr>
        <w:pStyle w:val="5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霉菌是评价食品质量安全的一项指示性指标，食品中霉菌数是指食品检样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经过处理，在一定条件下培养后，计数所得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1g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或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1mL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检样中所形成的霉菌菌落数。如果食品中的霉菌严重超标，将会破坏食品的营养成分，使食品失去食用价值，还可能产生霉菌毒素；长期食用霉菌超标的食品，可能会危害人体健康。DBS 34/2607-2016《食品安全地方标准 代用茶》中规定，霉菌在代用茶中最大限量值为1×10³CFU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2C5316C2"/>
    <w:rsid w:val="2E660EE9"/>
    <w:rsid w:val="2FFFD54B"/>
    <w:rsid w:val="32747DEA"/>
    <w:rsid w:val="32971D72"/>
    <w:rsid w:val="329A7A35"/>
    <w:rsid w:val="43993170"/>
    <w:rsid w:val="44D426B2"/>
    <w:rsid w:val="49F70DBA"/>
    <w:rsid w:val="55FE5498"/>
    <w:rsid w:val="5ABD553F"/>
    <w:rsid w:val="62A019CE"/>
    <w:rsid w:val="74923249"/>
    <w:rsid w:val="78E33BC7"/>
    <w:rsid w:val="7E7E7E12"/>
    <w:rsid w:val="8F9BAD06"/>
    <w:rsid w:val="B7EB554D"/>
    <w:rsid w:val="F7E7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3939</Words>
  <Characters>4280</Characters>
  <Lines>0</Lines>
  <Paragraphs>0</Paragraphs>
  <TotalTime>2</TotalTime>
  <ScaleCrop>false</ScaleCrop>
  <LinksUpToDate>false</LinksUpToDate>
  <CharactersWithSpaces>4322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2024-06-25T01:01:00Z</dcterms:created>
  <dc:creator>Administrator</dc:creator>
  <cp:lastModifiedBy>user</cp:lastModifiedBy>
  <dcterms:modified xsi:type="dcterms:W3CDTF">2024-12-30T16:33:41Z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</Properties>
</file>