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after="0"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keepNext w:val="0"/>
        <w:keepLines w:val="0"/>
        <w:pageBreakBefore w:val="0"/>
        <w:kinsoku/>
        <w:overflowPunct/>
        <w:topLinePunct w:val="0"/>
        <w:autoSpaceDE/>
        <w:autoSpaceDN/>
        <w:bidi w:val="0"/>
        <w:adjustRightInd/>
        <w:snapToGrid/>
        <w:spacing w:after="0"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电动自行车电池产品质量监督</w:t>
      </w:r>
    </w:p>
    <w:p>
      <w:pPr>
        <w:keepNext w:val="0"/>
        <w:keepLines w:val="0"/>
        <w:pageBreakBefore w:val="0"/>
        <w:kinsoku/>
        <w:overflowPunct/>
        <w:topLinePunct w:val="0"/>
        <w:autoSpaceDE/>
        <w:autoSpaceDN/>
        <w:bidi w:val="0"/>
        <w:adjustRightInd/>
        <w:snapToGrid/>
        <w:spacing w:after="0"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抽查结果的通告</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880" w:firstLineChars="200"/>
        <w:jc w:val="center"/>
        <w:textAlignment w:val="auto"/>
        <w:rPr>
          <w:rFonts w:hint="default" w:ascii="Times New Roman" w:hAnsi="Times New Roman" w:eastAsia="仿宋" w:cs="Times New Roman"/>
          <w:sz w:val="44"/>
          <w:szCs w:val="44"/>
        </w:rPr>
      </w:pP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2024年,珠海市市场监督管理局开展了电动自行车电池产品质量监督抽查工作，现将有关情况通告如下：</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微软雅黑" w:cs="Times New Roman"/>
          <w:color w:val="424242"/>
          <w:kern w:val="0"/>
          <w:sz w:val="27"/>
          <w:szCs w:val="27"/>
        </w:rPr>
      </w:pPr>
      <w:r>
        <w:rPr>
          <w:rFonts w:hint="default" w:ascii="Times New Roman" w:hAnsi="Times New Roman" w:eastAsia="黑体" w:cs="Times New Roman"/>
          <w:sz w:val="32"/>
          <w:szCs w:val="32"/>
        </w:rPr>
        <w:t>一、基本情况</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本次抽查涉及我市生产和销售企业。抽查了生产领域1家企业生产的2批次电动自行车电池产品，流通领域6家企业销售的6批次电动自行车电池产品，共抽查产品8批次。经检验，不合格1批次，不合格发现率为12.5%。</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微软雅黑" w:cs="Times New Roman"/>
          <w:color w:val="424242"/>
          <w:kern w:val="0"/>
          <w:sz w:val="27"/>
          <w:szCs w:val="27"/>
        </w:rPr>
      </w:pPr>
      <w:r>
        <w:rPr>
          <w:rFonts w:hint="default" w:ascii="Times New Roman" w:hAnsi="Times New Roman" w:eastAsia="黑体" w:cs="Times New Roman"/>
          <w:sz w:val="32"/>
          <w:szCs w:val="32"/>
        </w:rPr>
        <w:t>二、抽查结果分析</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 w:cs="Times New Roman"/>
          <w:sz w:val="32"/>
          <w:szCs w:val="32"/>
        </w:rPr>
        <w:t>本次监督抽查依据《锂离子电池产品质量监督抽查实施细则》，对电动自行车用锂离子蓄电池产品的I2(A)放电、低温放电、过充电、过充电保护、过放电保护、短路保护、放电过流保护、壳体阻燃性等8个项目进行了检测。经检验，1批次产品未发现不合格，1批次产品不合格，不合格项目为壳体阻燃性。依据《电动自行车电池产品质量监督抽查实施细则》，对电动助力车用阀控式铅酸蓄电池产品的2hr容量、大电流放电、能量密度、快速充电能力、防爆能力等5个项目进行了检测。6批次电动助力车用阀控式铅酸蓄电池产品均未发现不合格项目。</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三、抽检企业及产品清单</w:t>
      </w:r>
    </w:p>
    <w:tbl>
      <w:tblPr>
        <w:tblStyle w:val="5"/>
        <w:tblW w:w="9326" w:type="dxa"/>
        <w:tblInd w:w="-27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762"/>
        <w:gridCol w:w="1832"/>
        <w:gridCol w:w="1407"/>
        <w:gridCol w:w="863"/>
        <w:gridCol w:w="1247"/>
        <w:gridCol w:w="1195"/>
        <w:gridCol w:w="1089"/>
        <w:gridCol w:w="93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31"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18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140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86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124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108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c>
          <w:tcPr>
            <w:tcW w:w="93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不合格项目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86"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8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珠海市嘉欣德科技有限公司</w:t>
            </w:r>
          </w:p>
        </w:tc>
        <w:tc>
          <w:tcPr>
            <w:tcW w:w="140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电动车锂电池</w:t>
            </w:r>
          </w:p>
        </w:tc>
        <w:tc>
          <w:tcPr>
            <w:tcW w:w="86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嘉欣德</w:t>
            </w:r>
          </w:p>
        </w:tc>
        <w:tc>
          <w:tcPr>
            <w:tcW w:w="124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48V16Ah/HB-370MM</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2024/7/30</w:t>
            </w:r>
          </w:p>
        </w:tc>
        <w:tc>
          <w:tcPr>
            <w:tcW w:w="108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不合格</w:t>
            </w:r>
          </w:p>
        </w:tc>
        <w:tc>
          <w:tcPr>
            <w:tcW w:w="93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壳体阻燃性</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47"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8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珠海市嘉欣德科技有限公司</w:t>
            </w:r>
          </w:p>
        </w:tc>
        <w:tc>
          <w:tcPr>
            <w:tcW w:w="140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电动车锂电池</w:t>
            </w:r>
          </w:p>
        </w:tc>
        <w:tc>
          <w:tcPr>
            <w:tcW w:w="86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嘉欣德</w:t>
            </w:r>
          </w:p>
        </w:tc>
        <w:tc>
          <w:tcPr>
            <w:tcW w:w="124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48V12Ah 54.6V/YY-370MM</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2024/7/30</w:t>
            </w:r>
          </w:p>
        </w:tc>
        <w:tc>
          <w:tcPr>
            <w:tcW w:w="108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93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0"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8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金湾区精工摩托车配件经营部</w:t>
            </w:r>
          </w:p>
        </w:tc>
        <w:tc>
          <w:tcPr>
            <w:tcW w:w="140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台铃长续航电动车原厂专业电池</w:t>
            </w:r>
          </w:p>
        </w:tc>
        <w:tc>
          <w:tcPr>
            <w:tcW w:w="86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超威</w:t>
            </w:r>
          </w:p>
        </w:tc>
        <w:tc>
          <w:tcPr>
            <w:tcW w:w="124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型号：6-DZF-13</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批号：24060595</w:t>
            </w:r>
          </w:p>
        </w:tc>
        <w:tc>
          <w:tcPr>
            <w:tcW w:w="108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93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981"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8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珠海市香洲区南屏镇聚贤电动车商行</w:t>
            </w:r>
          </w:p>
        </w:tc>
        <w:tc>
          <w:tcPr>
            <w:tcW w:w="140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电动自行车用阀控式铅酸蓄电池</w:t>
            </w:r>
          </w:p>
        </w:tc>
        <w:tc>
          <w:tcPr>
            <w:tcW w:w="86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金超威</w:t>
            </w:r>
          </w:p>
        </w:tc>
        <w:tc>
          <w:tcPr>
            <w:tcW w:w="124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规格：12V12.5Ah 型号：6-DZF-12.5</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2024/7/4</w:t>
            </w:r>
          </w:p>
        </w:tc>
        <w:tc>
          <w:tcPr>
            <w:tcW w:w="108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93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0"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8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金湾区桂辉摩托车商行</w:t>
            </w:r>
          </w:p>
        </w:tc>
        <w:tc>
          <w:tcPr>
            <w:tcW w:w="140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电动助力车用阀控式铅酸蓄电池</w:t>
            </w:r>
          </w:p>
        </w:tc>
        <w:tc>
          <w:tcPr>
            <w:tcW w:w="86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爱玛电池</w:t>
            </w:r>
          </w:p>
        </w:tc>
        <w:tc>
          <w:tcPr>
            <w:tcW w:w="124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型号：6-DZF-12</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2024/7/28</w:t>
            </w:r>
          </w:p>
        </w:tc>
        <w:tc>
          <w:tcPr>
            <w:tcW w:w="108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93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981"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18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金湾区凯美车行</w:t>
            </w:r>
          </w:p>
        </w:tc>
        <w:tc>
          <w:tcPr>
            <w:tcW w:w="140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电动自行车用阀控式铅酸蓄电池</w:t>
            </w:r>
          </w:p>
        </w:tc>
        <w:tc>
          <w:tcPr>
            <w:tcW w:w="86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天能</w:t>
            </w:r>
          </w:p>
        </w:tc>
        <w:tc>
          <w:tcPr>
            <w:tcW w:w="124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规格：12V20Ah 型号：6-DZF-20</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2024/5/13</w:t>
            </w:r>
          </w:p>
        </w:tc>
        <w:tc>
          <w:tcPr>
            <w:tcW w:w="108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93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0"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18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珠海市金湾区名驹电动车商行</w:t>
            </w:r>
          </w:p>
        </w:tc>
        <w:tc>
          <w:tcPr>
            <w:tcW w:w="140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电动自行车用阀控式铅蓄电池</w:t>
            </w:r>
          </w:p>
        </w:tc>
        <w:tc>
          <w:tcPr>
            <w:tcW w:w="86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斯波兹曼</w:t>
            </w:r>
          </w:p>
        </w:tc>
        <w:tc>
          <w:tcPr>
            <w:tcW w:w="124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型号：6-DZF-12</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2024/6/24</w:t>
            </w:r>
          </w:p>
        </w:tc>
        <w:tc>
          <w:tcPr>
            <w:tcW w:w="108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93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71" w:hRule="atLeast"/>
        </w:trPr>
        <w:tc>
          <w:tcPr>
            <w:tcW w:w="76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18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珠海市金湾区晨圆电动车店</w:t>
            </w:r>
          </w:p>
        </w:tc>
        <w:tc>
          <w:tcPr>
            <w:tcW w:w="140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绿源液冷电动车专用蓄电池</w:t>
            </w:r>
          </w:p>
        </w:tc>
        <w:tc>
          <w:tcPr>
            <w:tcW w:w="86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绿源</w:t>
            </w:r>
          </w:p>
        </w:tc>
        <w:tc>
          <w:tcPr>
            <w:tcW w:w="124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型号：6-DZF-12</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2024/5/18</w:t>
            </w:r>
          </w:p>
        </w:tc>
        <w:tc>
          <w:tcPr>
            <w:tcW w:w="108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93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after="0"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w:t>
            </w:r>
          </w:p>
        </w:tc>
      </w:tr>
    </w:tbl>
    <w:p>
      <w:pPr>
        <w:spacing w:line="240" w:lineRule="auto"/>
        <w:rPr>
          <w:rFonts w:hint="default" w:ascii="Times New Roman" w:hAnsi="Times New Roman" w:eastAsia="仿宋_GB2312" w:cs="Times New Roman"/>
          <w:szCs w:val="21"/>
        </w:rPr>
      </w:pPr>
    </w:p>
    <w:p>
      <w:pPr>
        <w:spacing w:line="560" w:lineRule="exact"/>
        <w:ind w:firstLine="5120" w:firstLineChars="16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珠海市市场监督管理局</w:t>
      </w:r>
    </w:p>
    <w:p>
      <w:pPr>
        <w:spacing w:line="560" w:lineRule="exact"/>
        <w:ind w:firstLine="5440" w:firstLineChars="17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年1月</w:t>
      </w:r>
      <w:r>
        <w:rPr>
          <w:rFonts w:hint="default"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rPr>
        <w:t>日</w:t>
      </w:r>
    </w:p>
    <w:bookmarkEnd w:id="0"/>
    <w:sectPr>
      <w:pgSz w:w="11906" w:h="16838"/>
      <w:pgMar w:top="2041" w:right="1531" w:bottom="2041"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007C7A11"/>
    <w:rsid w:val="00003E32"/>
    <w:rsid w:val="00051C3E"/>
    <w:rsid w:val="00095655"/>
    <w:rsid w:val="00192D8B"/>
    <w:rsid w:val="001A4601"/>
    <w:rsid w:val="001C77DC"/>
    <w:rsid w:val="002D6C35"/>
    <w:rsid w:val="00314477"/>
    <w:rsid w:val="00327F35"/>
    <w:rsid w:val="00330390"/>
    <w:rsid w:val="0036293D"/>
    <w:rsid w:val="003868AC"/>
    <w:rsid w:val="003A1E8D"/>
    <w:rsid w:val="003A4754"/>
    <w:rsid w:val="004670ED"/>
    <w:rsid w:val="004C0657"/>
    <w:rsid w:val="005615B4"/>
    <w:rsid w:val="005C4617"/>
    <w:rsid w:val="00640F48"/>
    <w:rsid w:val="00771E73"/>
    <w:rsid w:val="0078103E"/>
    <w:rsid w:val="007B7AAC"/>
    <w:rsid w:val="007C7A11"/>
    <w:rsid w:val="007F3B8A"/>
    <w:rsid w:val="008D51FE"/>
    <w:rsid w:val="008D66B0"/>
    <w:rsid w:val="0093128D"/>
    <w:rsid w:val="0099439B"/>
    <w:rsid w:val="009D1339"/>
    <w:rsid w:val="00A66341"/>
    <w:rsid w:val="00A71163"/>
    <w:rsid w:val="00A931A0"/>
    <w:rsid w:val="00B1156C"/>
    <w:rsid w:val="00BC475F"/>
    <w:rsid w:val="00BE11AB"/>
    <w:rsid w:val="00C37A2F"/>
    <w:rsid w:val="00D24F9E"/>
    <w:rsid w:val="00D5384C"/>
    <w:rsid w:val="00D713B6"/>
    <w:rsid w:val="00DA0DBB"/>
    <w:rsid w:val="00DF3269"/>
    <w:rsid w:val="00E06FD7"/>
    <w:rsid w:val="00E217B1"/>
    <w:rsid w:val="00E70FEB"/>
    <w:rsid w:val="00F80EF3"/>
    <w:rsid w:val="01C34939"/>
    <w:rsid w:val="06E0088A"/>
    <w:rsid w:val="070748F2"/>
    <w:rsid w:val="0A053D41"/>
    <w:rsid w:val="0B7D3DAB"/>
    <w:rsid w:val="0FDD306A"/>
    <w:rsid w:val="11124F95"/>
    <w:rsid w:val="16EA295C"/>
    <w:rsid w:val="1D64350F"/>
    <w:rsid w:val="24AB32DF"/>
    <w:rsid w:val="2A331DAD"/>
    <w:rsid w:val="2D431A90"/>
    <w:rsid w:val="2D9B2143"/>
    <w:rsid w:val="388A34DF"/>
    <w:rsid w:val="3ED63401"/>
    <w:rsid w:val="422A47BA"/>
    <w:rsid w:val="47F02F67"/>
    <w:rsid w:val="490C1EA4"/>
    <w:rsid w:val="498D3C83"/>
    <w:rsid w:val="4A721E8D"/>
    <w:rsid w:val="4D0F1DAD"/>
    <w:rsid w:val="50DE21C3"/>
    <w:rsid w:val="51937547"/>
    <w:rsid w:val="57FFF3A6"/>
    <w:rsid w:val="5A6C083F"/>
    <w:rsid w:val="5D514AD6"/>
    <w:rsid w:val="60C71D22"/>
    <w:rsid w:val="65E971E8"/>
    <w:rsid w:val="675E5D99"/>
    <w:rsid w:val="6FF6EFF2"/>
    <w:rsid w:val="73816CB2"/>
    <w:rsid w:val="75BDB985"/>
    <w:rsid w:val="7CEA58C8"/>
    <w:rsid w:val="7DFD162B"/>
    <w:rsid w:val="7E494870"/>
    <w:rsid w:val="7F3805A2"/>
    <w:rsid w:val="7F4A08A0"/>
    <w:rsid w:val="7F770605"/>
    <w:rsid w:val="E19FDCDA"/>
    <w:rsid w:val="F4DFCE48"/>
    <w:rsid w:val="FBB3B56B"/>
    <w:rsid w:val="FBFF8B92"/>
    <w:rsid w:val="FD6F99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修订1"/>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169</Words>
  <Characters>967</Characters>
  <Lines>8</Lines>
  <Paragraphs>2</Paragraphs>
  <TotalTime>20</TotalTime>
  <ScaleCrop>false</ScaleCrop>
  <LinksUpToDate>false</LinksUpToDate>
  <CharactersWithSpaces>1134</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2024-12-11T00:46:00Z</dcterms:created>
  <dc:creator>pyq</dc:creator>
  <cp:lastModifiedBy>admin1</cp:lastModifiedBy>
  <dcterms:modified xsi:type="dcterms:W3CDTF">2025-01-15T10:39:33Z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574B4BCFFCA24A988C8EEE58CAAE2F0B</vt:lpwstr>
  </property>
</Properties>
</file>