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outlineLvl w:val="1"/>
        <w:rPr>
          <w:rFonts w:hint="default" w:ascii="Times New Roman" w:hAnsi="Times New Roman" w:eastAsia="黑体" w:cs="Times New Roman"/>
          <w:b w:val="0"/>
          <w:bCs w:val="0"/>
          <w:color w:val="auto"/>
          <w:spacing w:val="-12"/>
          <w:sz w:val="32"/>
          <w:szCs w:val="32"/>
          <w:highlight w:val="none"/>
          <w:lang w:val="en-US" w:eastAsia="zh-CN"/>
        </w:rPr>
      </w:pPr>
      <w:r>
        <w:rPr>
          <w:rFonts w:hint="default" w:ascii="Times New Roman" w:hAnsi="Times New Roman" w:eastAsia="黑体" w:cs="Times New Roman"/>
          <w:b w:val="0"/>
          <w:bCs w:val="0"/>
          <w:color w:val="auto"/>
          <w:spacing w:val="-12"/>
          <w:sz w:val="32"/>
          <w:szCs w:val="32"/>
          <w:highlight w:val="none"/>
          <w:lang w:val="en-US" w:eastAsia="zh-Hans"/>
        </w:rPr>
        <w:t>附件</w:t>
      </w:r>
      <w:r>
        <w:rPr>
          <w:rFonts w:hint="eastAsia" w:ascii="Times New Roman" w:hAnsi="Times New Roman" w:eastAsia="黑体" w:cs="Times New Roman"/>
          <w:b w:val="0"/>
          <w:bCs w:val="0"/>
          <w:color w:val="auto"/>
          <w:spacing w:val="-12"/>
          <w:sz w:val="32"/>
          <w:szCs w:val="32"/>
          <w:highlight w:val="none"/>
          <w:lang w:val="en-US" w:eastAsia="zh-CN"/>
        </w:rPr>
        <w:t>3</w:t>
      </w:r>
    </w:p>
    <w:p>
      <w:pPr>
        <w:keepNext w:val="0"/>
        <w:keepLines w:val="0"/>
        <w:pageBreakBefore w:val="0"/>
        <w:widowControl w:val="0"/>
        <w:kinsoku/>
        <w:wordWrap/>
        <w:overflowPunct/>
        <w:topLinePunct w:val="0"/>
        <w:autoSpaceDE/>
        <w:autoSpaceDN/>
        <w:bidi w:val="0"/>
        <w:adjustRightInd/>
        <w:snapToGrid w:val="0"/>
        <w:spacing w:before="291" w:beforeLines="50" w:after="291" w:afterLines="50"/>
        <w:jc w:val="center"/>
        <w:textAlignment w:val="auto"/>
        <w:outlineLvl w:val="1"/>
        <w:rPr>
          <w:rFonts w:hint="default" w:ascii="Times New Roman" w:hAnsi="Times New Roman" w:eastAsia="方正小标宋简体" w:cs="Times New Roman"/>
          <w:b w:val="0"/>
          <w:bCs w:val="0"/>
          <w:color w:val="auto"/>
          <w:spacing w:val="0"/>
          <w:sz w:val="44"/>
          <w:szCs w:val="44"/>
          <w:highlight w:val="none"/>
        </w:rPr>
      </w:pPr>
      <w:r>
        <w:rPr>
          <w:rFonts w:hint="eastAsia" w:ascii="Times New Roman" w:hAnsi="Times New Roman" w:eastAsia="方正小标宋简体" w:cs="Times New Roman"/>
          <w:b w:val="0"/>
          <w:bCs w:val="0"/>
          <w:color w:val="auto"/>
          <w:spacing w:val="0"/>
          <w:sz w:val="44"/>
          <w:szCs w:val="44"/>
          <w:highlight w:val="none"/>
          <w:lang w:eastAsia="zh-CN"/>
        </w:rPr>
        <w:t>关于</w:t>
      </w:r>
      <w:r>
        <w:rPr>
          <w:rFonts w:hint="default" w:ascii="Times New Roman" w:hAnsi="Times New Roman" w:eastAsia="方正小标宋简体" w:cs="Times New Roman"/>
          <w:b w:val="0"/>
          <w:bCs w:val="0"/>
          <w:color w:val="auto"/>
          <w:spacing w:val="0"/>
          <w:sz w:val="44"/>
          <w:szCs w:val="44"/>
          <w:highlight w:val="none"/>
          <w:lang w:eastAsia="zh-CN"/>
        </w:rPr>
        <w:t>部分</w:t>
      </w:r>
      <w:r>
        <w:rPr>
          <w:rFonts w:hint="eastAsia" w:ascii="Times New Roman" w:hAnsi="Times New Roman" w:eastAsia="方正小标宋简体" w:cs="Times New Roman"/>
          <w:b w:val="0"/>
          <w:bCs w:val="0"/>
          <w:color w:val="auto"/>
          <w:spacing w:val="0"/>
          <w:sz w:val="44"/>
          <w:szCs w:val="44"/>
          <w:highlight w:val="none"/>
          <w:lang w:eastAsia="zh-CN"/>
        </w:rPr>
        <w:t>抽检</w:t>
      </w:r>
      <w:r>
        <w:rPr>
          <w:rFonts w:hint="default" w:ascii="Times New Roman" w:hAnsi="Times New Roman" w:eastAsia="方正小标宋简体" w:cs="Times New Roman"/>
          <w:b w:val="0"/>
          <w:bCs w:val="0"/>
          <w:color w:val="auto"/>
          <w:spacing w:val="0"/>
          <w:sz w:val="44"/>
          <w:szCs w:val="44"/>
          <w:highlight w:val="none"/>
        </w:rPr>
        <w:t>项目小知识</w:t>
      </w: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eastAsia" w:ascii="Times New Roman" w:hAnsi="Times New Roman" w:eastAsia="方正黑体_GBK" w:cs="Times New Roman"/>
          <w:spacing w:val="-6"/>
          <w:sz w:val="32"/>
          <w:szCs w:val="32"/>
          <w:lang w:val="en-GB" w:eastAsia="zh-CN"/>
        </w:rPr>
      </w:pPr>
      <w:r>
        <w:rPr>
          <w:rFonts w:hint="eastAsia" w:ascii="Times New Roman" w:hAnsi="Times New Roman" w:eastAsia="方正黑体_GBK" w:cs="Times New Roman"/>
          <w:spacing w:val="-6"/>
          <w:sz w:val="32"/>
          <w:szCs w:val="32"/>
          <w:lang w:val="en-GB" w:eastAsia="zh-CN"/>
        </w:rPr>
        <w:t>阿维菌素</w:t>
      </w:r>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atLeast"/>
        <w:ind w:firstLine="640" w:firstLineChars="200"/>
        <w:jc w:val="both"/>
        <w:textAlignment w:val="auto"/>
        <w:outlineLvl w:val="9"/>
        <w:rPr>
          <w:rFonts w:hint="eastAsia" w:ascii="Times New Roman" w:hAnsi="Times New Roman" w:eastAsia="方正仿宋_GBK" w:cs="Times New Roman"/>
          <w:b w:val="0"/>
          <w:bCs w:val="0"/>
          <w:kern w:val="2"/>
          <w:sz w:val="32"/>
          <w:szCs w:val="32"/>
          <w:highlight w:val="none"/>
          <w:lang w:val="en-GB" w:eastAsia="zh-CN" w:bidi="ar-SA"/>
        </w:rPr>
      </w:pPr>
      <w:r>
        <w:rPr>
          <w:rFonts w:hint="eastAsia" w:ascii="Times New Roman" w:hAnsi="Times New Roman" w:eastAsia="方正仿宋_GBK" w:cs="Times New Roman"/>
          <w:b w:val="0"/>
          <w:bCs w:val="0"/>
          <w:kern w:val="2"/>
          <w:sz w:val="32"/>
          <w:szCs w:val="32"/>
          <w:highlight w:val="none"/>
          <w:lang w:val="en-GB" w:eastAsia="zh-CN" w:bidi="ar-SA"/>
        </w:rPr>
        <w:t>阿维菌素是一种大环内酯双糖类化合物，对昆虫和螨类具有触杀、胃毒及微弱的熏蒸作用。《食品安全国家标准 食品中农药最大残留限量》（GB 2763</w:t>
      </w:r>
      <w:r>
        <w:rPr>
          <w:rFonts w:hint="eastAsia" w:ascii="Times New Roman" w:hAnsi="Times New Roman" w:eastAsia="方正仿宋_GBK" w:cs="Times New Roman"/>
          <w:b w:val="0"/>
          <w:bCs w:val="0"/>
          <w:kern w:val="2"/>
          <w:sz w:val="32"/>
          <w:szCs w:val="32"/>
          <w:highlight w:val="none"/>
          <w:lang w:val="en-US" w:eastAsia="zh-CN" w:bidi="ar-SA"/>
        </w:rPr>
        <w:t>-2021</w:t>
      </w:r>
      <w:r>
        <w:rPr>
          <w:rFonts w:hint="eastAsia" w:ascii="Times New Roman" w:hAnsi="Times New Roman" w:eastAsia="方正仿宋_GBK" w:cs="Times New Roman"/>
          <w:b w:val="0"/>
          <w:bCs w:val="0"/>
          <w:kern w:val="2"/>
          <w:sz w:val="32"/>
          <w:szCs w:val="32"/>
          <w:highlight w:val="none"/>
          <w:lang w:val="en-GB" w:eastAsia="zh-CN" w:bidi="ar-SA"/>
        </w:rPr>
        <w:t>）中规定，油麦菜中阿维菌素最大残留限量值不得超过0.</w:t>
      </w:r>
      <w:r>
        <w:rPr>
          <w:rFonts w:hint="eastAsia" w:ascii="Times New Roman" w:hAnsi="Times New Roman" w:eastAsia="方正仿宋_GBK" w:cs="Times New Roman"/>
          <w:b w:val="0"/>
          <w:bCs w:val="0"/>
          <w:kern w:val="2"/>
          <w:sz w:val="32"/>
          <w:szCs w:val="32"/>
          <w:highlight w:val="none"/>
          <w:lang w:val="en-US" w:eastAsia="zh-CN" w:bidi="ar-SA"/>
        </w:rPr>
        <w:t>05</w:t>
      </w:r>
      <w:r>
        <w:rPr>
          <w:rFonts w:hint="eastAsia" w:ascii="Times New Roman" w:hAnsi="Times New Roman" w:eastAsia="方正仿宋_GBK" w:cs="Times New Roman"/>
          <w:b w:val="0"/>
          <w:bCs w:val="0"/>
          <w:kern w:val="2"/>
          <w:sz w:val="32"/>
          <w:szCs w:val="32"/>
          <w:highlight w:val="none"/>
          <w:lang w:val="en-GB" w:eastAsia="zh-CN" w:bidi="ar-SA"/>
        </w:rPr>
        <w:t>mg/kg，不合格的主要原因是菜农为快速控制病害加大用药量，或未遵守采摘间隔期规定，致使上市销售时产品中的药物残留量未降解至标准限量以下。</w:t>
      </w:r>
    </w:p>
    <w:p>
      <w:pPr>
        <w:pStyle w:val="2"/>
        <w:keepNext w:val="0"/>
        <w:keepLines w:val="0"/>
        <w:pageBreakBefore w:val="0"/>
        <w:kinsoku/>
        <w:wordWrap/>
        <w:overflowPunct/>
        <w:topLinePunct w:val="0"/>
        <w:autoSpaceDE/>
        <w:autoSpaceDN/>
        <w:bidi w:val="0"/>
        <w:adjustRightInd w:val="0"/>
        <w:spacing w:after="0" w:line="560" w:lineRule="atLeast"/>
        <w:textAlignment w:val="auto"/>
        <w:rPr>
          <w:rFonts w:hint="eastAsia"/>
          <w:lang w:val="en-GB" w:eastAsia="zh-CN"/>
        </w:rPr>
      </w:pP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eastAsia" w:ascii="Times New Roman" w:hAnsi="Times New Roman" w:eastAsia="方正黑体_GBK" w:cs="Times New Roman"/>
          <w:spacing w:val="-6"/>
          <w:sz w:val="32"/>
          <w:szCs w:val="32"/>
          <w:lang w:val="en-GB" w:eastAsia="zh-CN"/>
        </w:rPr>
      </w:pPr>
      <w:r>
        <w:rPr>
          <w:rFonts w:hint="eastAsia" w:ascii="Times New Roman" w:hAnsi="Times New Roman" w:eastAsia="方正黑体_GBK" w:cs="Times New Roman"/>
          <w:spacing w:val="-6"/>
          <w:sz w:val="32"/>
          <w:szCs w:val="32"/>
          <w:lang w:val="en-GB" w:eastAsia="zh-CN"/>
        </w:rPr>
        <w:t>丙二醇</w:t>
      </w:r>
    </w:p>
    <w:p>
      <w:pPr>
        <w:pStyle w:val="2"/>
        <w:keepNext w:val="0"/>
        <w:keepLines w:val="0"/>
        <w:pageBreakBefore w:val="0"/>
        <w:widowControl w:val="0"/>
        <w:kinsoku/>
        <w:wordWrap/>
        <w:overflowPunct/>
        <w:topLinePunct w:val="0"/>
        <w:autoSpaceDE/>
        <w:autoSpaceDN/>
        <w:bidi w:val="0"/>
        <w:adjustRightInd w:val="0"/>
        <w:snapToGrid w:val="0"/>
        <w:spacing w:after="0" w:line="560" w:lineRule="atLeast"/>
        <w:ind w:left="0" w:firstLine="640" w:firstLineChars="200"/>
        <w:textAlignment w:val="auto"/>
        <w:rPr>
          <w:rFonts w:hint="default" w:ascii="Times New Roman" w:hAnsi="Times New Roman" w:eastAsia="方正仿宋_GBK" w:cs="Times New Roman"/>
          <w:b w:val="0"/>
          <w:bCs w:val="0"/>
          <w:kern w:val="2"/>
          <w:sz w:val="32"/>
          <w:szCs w:val="32"/>
          <w:highlight w:val="none"/>
          <w:lang w:val="en-US" w:eastAsia="zh-CN" w:bidi="ar-SA"/>
        </w:rPr>
      </w:pPr>
      <w:r>
        <w:rPr>
          <w:rFonts w:hint="default" w:ascii="Times New Roman" w:hAnsi="Times New Roman" w:eastAsia="方正仿宋_GBK" w:cs="Times New Roman"/>
          <w:b w:val="0"/>
          <w:bCs w:val="0"/>
          <w:kern w:val="2"/>
          <w:sz w:val="32"/>
          <w:szCs w:val="32"/>
          <w:highlight w:val="none"/>
          <w:lang w:val="en-US" w:eastAsia="zh-CN" w:bidi="ar-SA"/>
        </w:rPr>
        <w:t>丙二醇是一种食品添加剂，在食品中主要起到稳定和凝固、抗结、消泡、乳化、水分保持、增稠等作用。《食品安全国家标准食品添加剂使用标准》（GB</w:t>
      </w:r>
      <w:r>
        <w:rPr>
          <w:rFonts w:hint="eastAsia" w:ascii="Times New Roman" w:hAnsi="Times New Roman" w:eastAsia="方正仿宋_GBK" w:cs="Times New Roman"/>
          <w:b w:val="0"/>
          <w:bCs w:val="0"/>
          <w:kern w:val="2"/>
          <w:sz w:val="32"/>
          <w:szCs w:val="32"/>
          <w:highlight w:val="none"/>
          <w:lang w:val="en-US" w:eastAsia="zh-CN" w:bidi="ar-SA"/>
        </w:rPr>
        <w:t xml:space="preserve"> </w:t>
      </w:r>
      <w:r>
        <w:rPr>
          <w:rFonts w:hint="default" w:ascii="Times New Roman" w:hAnsi="Times New Roman" w:eastAsia="方正仿宋_GBK" w:cs="Times New Roman"/>
          <w:b w:val="0"/>
          <w:bCs w:val="0"/>
          <w:kern w:val="2"/>
          <w:sz w:val="32"/>
          <w:szCs w:val="32"/>
          <w:highlight w:val="none"/>
          <w:lang w:val="en-US" w:eastAsia="zh-CN" w:bidi="ar-SA"/>
        </w:rPr>
        <w:t>2760</w:t>
      </w:r>
      <w:r>
        <w:rPr>
          <w:rFonts w:hint="eastAsia" w:ascii="Times New Roman" w:hAnsi="Times New Roman" w:eastAsia="方正仿宋_GBK" w:cs="Times New Roman"/>
          <w:b w:val="0"/>
          <w:bCs w:val="0"/>
          <w:kern w:val="2"/>
          <w:sz w:val="32"/>
          <w:szCs w:val="32"/>
          <w:highlight w:val="none"/>
          <w:lang w:val="en-US" w:eastAsia="zh-CN" w:bidi="ar-SA"/>
        </w:rPr>
        <w:t>-</w:t>
      </w:r>
      <w:r>
        <w:rPr>
          <w:rFonts w:hint="default" w:ascii="Times New Roman" w:hAnsi="Times New Roman" w:eastAsia="方正仿宋_GBK" w:cs="Times New Roman"/>
          <w:b w:val="0"/>
          <w:bCs w:val="0"/>
          <w:kern w:val="2"/>
          <w:sz w:val="32"/>
          <w:szCs w:val="32"/>
          <w:highlight w:val="none"/>
          <w:lang w:val="en-US" w:eastAsia="zh-CN" w:bidi="ar-SA"/>
        </w:rPr>
        <w:t>2014）中规定，丙二醇在糕点中的最大使用量应不超过3.0g/kg。糕点中丙二醇超标的原因，可能是个别企业为改善产品口感，在生产加工过程中超限量使用食品添加剂丙二醇，或者其使用的复配添加剂中丙二醇含量过高。</w:t>
      </w:r>
    </w:p>
    <w:p>
      <w:pPr>
        <w:rPr>
          <w:rFonts w:hint="default"/>
          <w:lang w:val="en-US" w:eastAsia="zh-CN"/>
        </w:rPr>
      </w:pP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eastAsia" w:ascii="Times New Roman" w:hAnsi="Times New Roman" w:eastAsia="方正黑体_GBK" w:cs="Times New Roman"/>
          <w:spacing w:val="-6"/>
          <w:sz w:val="32"/>
          <w:szCs w:val="32"/>
          <w:lang w:val="en-GB" w:eastAsia="zh-CN"/>
        </w:rPr>
      </w:pPr>
      <w:r>
        <w:rPr>
          <w:rFonts w:hint="eastAsia" w:ascii="Times New Roman" w:hAnsi="Times New Roman" w:eastAsia="方正黑体_GBK" w:cs="Times New Roman"/>
          <w:spacing w:val="-6"/>
          <w:sz w:val="32"/>
          <w:szCs w:val="32"/>
          <w:lang w:val="en-GB" w:eastAsia="zh-CN"/>
        </w:rPr>
        <w:t>不挥发酸(以乳酸计)</w:t>
      </w:r>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atLeast"/>
        <w:ind w:firstLine="640" w:firstLineChars="200"/>
        <w:jc w:val="both"/>
        <w:textAlignment w:val="auto"/>
        <w:outlineLvl w:val="9"/>
        <w:rPr>
          <w:rFonts w:hint="default" w:ascii="Times New Roman" w:hAnsi="Times New Roman" w:eastAsia="方正仿宋_GBK" w:cs="Times New Roman"/>
          <w:b w:val="0"/>
          <w:bCs w:val="0"/>
          <w:kern w:val="2"/>
          <w:sz w:val="32"/>
          <w:szCs w:val="32"/>
          <w:highlight w:val="none"/>
          <w:lang w:val="en-US" w:eastAsia="zh-CN" w:bidi="ar-SA"/>
        </w:rPr>
      </w:pPr>
      <w:r>
        <w:rPr>
          <w:rFonts w:hint="default" w:ascii="Times New Roman" w:hAnsi="Times New Roman" w:eastAsia="方正仿宋_GBK" w:cs="Times New Roman"/>
          <w:b w:val="0"/>
          <w:bCs w:val="0"/>
          <w:kern w:val="2"/>
          <w:sz w:val="32"/>
          <w:szCs w:val="32"/>
          <w:highlight w:val="none"/>
          <w:lang w:val="en-US" w:eastAsia="zh-CN" w:bidi="ar-SA"/>
        </w:rPr>
        <w:t>不挥发酸（以乳酸计）是食醋中总酸的一种，以乳酸为主，可以使食醋的酸味绵长，柔软可口。不挥发酸含量不足，在一定程度上会影响食醋的口感和风味。《酿造食醋》（GB/T 18187-2000）中规定，食醋中的不挥发酸（以乳酸计）应不少于0.50g/100mL。造成不挥发酸不合格的原因，可能是生产加工过程中发酵工艺控制不当。</w:t>
      </w:r>
    </w:p>
    <w:p>
      <w:pPr>
        <w:pStyle w:val="2"/>
        <w:rPr>
          <w:rFonts w:hint="default"/>
          <w:lang w:val="en-US" w:eastAsia="zh-CN"/>
        </w:rPr>
      </w:pP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default" w:ascii="Times New Roman" w:hAnsi="Times New Roman" w:eastAsia="方正黑体_GBK" w:cs="Times New Roman"/>
          <w:spacing w:val="-6"/>
          <w:sz w:val="32"/>
          <w:szCs w:val="32"/>
          <w:lang w:val="en-US" w:eastAsia="zh-CN"/>
        </w:rPr>
      </w:pPr>
      <w:r>
        <w:rPr>
          <w:rFonts w:hint="eastAsia" w:ascii="Times New Roman" w:hAnsi="Times New Roman" w:eastAsia="方正黑体_GBK" w:cs="Times New Roman"/>
          <w:spacing w:val="-6"/>
          <w:sz w:val="32"/>
          <w:szCs w:val="32"/>
          <w:lang w:val="en-GB" w:eastAsia="zh-CN"/>
        </w:rPr>
        <w:t>二氧化硫残留量</w:t>
      </w:r>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atLeast"/>
        <w:ind w:left="0" w:firstLine="640" w:firstLineChars="200"/>
        <w:jc w:val="both"/>
        <w:textAlignment w:val="auto"/>
        <w:outlineLvl w:val="9"/>
        <w:rPr>
          <w:rFonts w:hint="default" w:ascii="Times New Roman" w:hAnsi="Times New Roman" w:eastAsia="方正仿宋_GBK" w:cs="Times New Roman"/>
          <w:b w:val="0"/>
          <w:bCs w:val="0"/>
          <w:kern w:val="2"/>
          <w:sz w:val="32"/>
          <w:szCs w:val="32"/>
          <w:highlight w:val="none"/>
          <w:lang w:val="en-US" w:eastAsia="zh-CN" w:bidi="ar-SA"/>
        </w:rPr>
      </w:pPr>
      <w:r>
        <w:rPr>
          <w:rFonts w:hint="eastAsia" w:ascii="Times New Roman" w:hAnsi="Times New Roman" w:eastAsia="方正仿宋_GBK" w:cs="Times New Roman"/>
          <w:kern w:val="2"/>
          <w:sz w:val="32"/>
          <w:szCs w:val="22"/>
          <w:highlight w:val="none"/>
          <w:u w:val="none"/>
          <w:lang w:val="en-US" w:eastAsia="zh-CN" w:bidi="ar-SA"/>
        </w:rPr>
        <w:t xml:space="preserve">二氧化硫是食品加工中常用的漂白剂和防腐剂，具有漂白、防腐和抗氧化作用。《食品安全国家标准食品添加剂使用标准》（GB </w:t>
      </w:r>
      <w:bookmarkStart w:id="0" w:name="_GoBack"/>
      <w:bookmarkEnd w:id="0"/>
      <w:r>
        <w:rPr>
          <w:rFonts w:hint="eastAsia" w:ascii="Times New Roman" w:hAnsi="Times New Roman" w:eastAsia="方正仿宋_GBK" w:cs="Times New Roman"/>
          <w:kern w:val="2"/>
          <w:sz w:val="32"/>
          <w:szCs w:val="22"/>
          <w:highlight w:val="none"/>
          <w:u w:val="none"/>
          <w:lang w:val="en-US" w:eastAsia="zh-CN" w:bidi="ar-SA"/>
        </w:rPr>
        <w:t>2760-2014）中规定，蜜饯凉果和经表面处理的鲜水果中二氧化硫最大使用量分别为0.35g/kg和0.05g/kg。二氧化硫残留量超标可能是生产企业为了提高产品色泽而超量使用亚硫酸盐溶液、使用时不计量或计量不准确、使用硫磺熏蒸漂白这种传统工艺等原因造成。</w:t>
      </w:r>
    </w:p>
    <w:p>
      <w:pPr>
        <w:keepNext w:val="0"/>
        <w:keepLines w:val="0"/>
        <w:pageBreakBefore w:val="0"/>
        <w:kinsoku/>
        <w:wordWrap/>
        <w:overflowPunct/>
        <w:topLinePunct w:val="0"/>
        <w:autoSpaceDE/>
        <w:autoSpaceDN/>
        <w:bidi w:val="0"/>
        <w:adjustRightInd w:val="0"/>
        <w:snapToGrid w:val="0"/>
        <w:spacing w:line="560" w:lineRule="atLeast"/>
        <w:ind w:left="0" w:firstLine="640" w:firstLineChars="200"/>
        <w:textAlignment w:val="auto"/>
        <w:rPr>
          <w:rFonts w:hint="eastAsia" w:ascii="Times New Roman" w:hAnsi="Times New Roman" w:eastAsia="方正仿宋_GBK" w:cs="Times New Roman"/>
          <w:kern w:val="2"/>
          <w:sz w:val="32"/>
          <w:szCs w:val="22"/>
          <w:highlight w:val="none"/>
          <w:u w:val="none"/>
          <w:lang w:val="en-GB" w:eastAsia="zh-CN" w:bidi="ar-SA"/>
        </w:rPr>
      </w:pP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eastAsia" w:ascii="Times New Roman" w:hAnsi="Times New Roman" w:eastAsia="方正黑体_GBK" w:cs="Times New Roman"/>
          <w:spacing w:val="-6"/>
          <w:sz w:val="32"/>
          <w:szCs w:val="32"/>
          <w:lang w:val="en-GB" w:eastAsia="zh-CN"/>
        </w:rPr>
      </w:pPr>
      <w:r>
        <w:rPr>
          <w:rFonts w:hint="eastAsia" w:ascii="Times New Roman" w:hAnsi="Times New Roman" w:eastAsia="方正黑体_GBK" w:cs="Times New Roman"/>
          <w:spacing w:val="-6"/>
          <w:sz w:val="32"/>
          <w:szCs w:val="32"/>
          <w:lang w:val="en-GB" w:eastAsia="zh-CN"/>
        </w:rPr>
        <w:t>脱氢乙酸及其钠盐(以脱氢乙酸计)</w:t>
      </w:r>
    </w:p>
    <w:p>
      <w:pPr>
        <w:keepNext w:val="0"/>
        <w:keepLines w:val="0"/>
        <w:pageBreakBefore w:val="0"/>
        <w:widowControl/>
        <w:numPr>
          <w:ilvl w:val="0"/>
          <w:numId w:val="0"/>
        </w:numPr>
        <w:kinsoku/>
        <w:wordWrap/>
        <w:overflowPunct/>
        <w:topLinePunct w:val="0"/>
        <w:autoSpaceDE/>
        <w:autoSpaceDN/>
        <w:bidi w:val="0"/>
        <w:adjustRightInd w:val="0"/>
        <w:snapToGrid w:val="0"/>
        <w:spacing w:line="594" w:lineRule="exact"/>
        <w:ind w:left="0" w:firstLine="640" w:firstLineChars="200"/>
        <w:jc w:val="both"/>
        <w:textAlignment w:val="auto"/>
        <w:outlineLvl w:val="9"/>
        <w:rPr>
          <w:rFonts w:hint="default" w:ascii="Times New Roman" w:hAnsi="Times New Roman" w:eastAsia="方正仿宋_GBK" w:cs="Times New Roman"/>
          <w:b w:val="0"/>
          <w:bCs w:val="0"/>
          <w:kern w:val="2"/>
          <w:sz w:val="32"/>
          <w:szCs w:val="32"/>
          <w:highlight w:val="none"/>
          <w:lang w:val="en-US" w:eastAsia="zh-CN" w:bidi="ar-SA"/>
        </w:rPr>
      </w:pPr>
      <w:r>
        <w:rPr>
          <w:rFonts w:hint="eastAsia" w:ascii="Times New Roman" w:hAnsi="Times New Roman" w:eastAsia="方正仿宋_GBK" w:cs="Times New Roman"/>
          <w:kern w:val="2"/>
          <w:sz w:val="32"/>
          <w:szCs w:val="22"/>
          <w:highlight w:val="none"/>
          <w:u w:val="none"/>
          <w:lang w:val="en-US" w:eastAsia="zh-CN" w:bidi="ar-SA"/>
        </w:rPr>
        <w:t>脱氢乙酸及其钠盐作为食品添加剂，广泛用作防腐剂，对霉菌具有较强的抑制作用。《食品安全国家标准 食品添加剂使用标准》（GB 2760-2014）中规定，馒头中不得使用脱氢乙酸及其钠盐（以脱氢乙酸计），不合格的原因可能是个别生产企业为防止食品腐败变质，超限量使用了该添加剂，或者使用的复配添加剂中含有该添加剂使得重复使用而超限量。</w:t>
      </w:r>
    </w:p>
    <w:p>
      <w:pPr>
        <w:pStyle w:val="2"/>
        <w:rPr>
          <w:rFonts w:hint="eastAsia" w:ascii="Times New Roman" w:hAnsi="Times New Roman" w:eastAsia="方正仿宋_GBK" w:cs="Times New Roman"/>
          <w:kern w:val="2"/>
          <w:sz w:val="32"/>
          <w:szCs w:val="22"/>
          <w:highlight w:val="none"/>
          <w:u w:val="none"/>
          <w:lang w:val="en-US" w:eastAsia="zh-CN" w:bidi="ar-SA"/>
        </w:rPr>
      </w:pPr>
    </w:p>
    <w:p>
      <w:pPr>
        <w:keepNext w:val="0"/>
        <w:keepLines w:val="0"/>
        <w:pageBreakBefore w:val="0"/>
        <w:widowControl/>
        <w:numPr>
          <w:ilvl w:val="0"/>
          <w:numId w:val="1"/>
        </w:numPr>
        <w:kinsoku/>
        <w:wordWrap/>
        <w:overflowPunct/>
        <w:topLinePunct w:val="0"/>
        <w:autoSpaceDE/>
        <w:autoSpaceDN/>
        <w:bidi w:val="0"/>
        <w:adjustRightInd w:val="0"/>
        <w:snapToGrid w:val="0"/>
        <w:spacing w:line="560" w:lineRule="atLeast"/>
        <w:ind w:left="6" w:leftChars="0" w:firstLine="616" w:firstLineChars="0"/>
        <w:jc w:val="both"/>
        <w:textAlignment w:val="auto"/>
        <w:outlineLvl w:val="9"/>
        <w:rPr>
          <w:rFonts w:hint="eastAsia" w:ascii="Times New Roman" w:hAnsi="Times New Roman" w:eastAsia="方正黑体_GBK" w:cs="Times New Roman"/>
          <w:spacing w:val="-6"/>
          <w:sz w:val="32"/>
          <w:szCs w:val="32"/>
          <w:lang w:val="en-GB" w:eastAsia="zh-CN"/>
        </w:rPr>
      </w:pPr>
      <w:r>
        <w:rPr>
          <w:rFonts w:hint="eastAsia" w:ascii="Times New Roman" w:hAnsi="Times New Roman" w:eastAsia="方正黑体_GBK" w:cs="Times New Roman"/>
          <w:spacing w:val="-6"/>
          <w:sz w:val="32"/>
          <w:szCs w:val="32"/>
          <w:lang w:val="en-GB" w:eastAsia="zh-CN"/>
        </w:rPr>
        <w:t>甲拌磷</w:t>
      </w:r>
    </w:p>
    <w:p>
      <w:pPr>
        <w:pStyle w:val="2"/>
        <w:rPr>
          <w:rFonts w:hint="default" w:ascii="Times New Roman" w:hAnsi="Times New Roman" w:eastAsia="方正仿宋_GBK" w:cs="Times New Roman"/>
          <w:kern w:val="2"/>
          <w:sz w:val="32"/>
          <w:szCs w:val="22"/>
          <w:highlight w:val="none"/>
          <w:u w:val="none"/>
          <w:lang w:val="en-US" w:eastAsia="zh-CN" w:bidi="ar-SA"/>
        </w:rPr>
      </w:pPr>
      <w:r>
        <w:rPr>
          <w:rFonts w:hint="default" w:ascii="Times New Roman" w:hAnsi="Times New Roman" w:eastAsia="方正仿宋_GBK" w:cs="Times New Roman"/>
          <w:kern w:val="2"/>
          <w:sz w:val="32"/>
          <w:szCs w:val="22"/>
          <w:highlight w:val="none"/>
          <w:u w:val="none"/>
          <w:lang w:val="en-US" w:eastAsia="zh-CN" w:bidi="ar-SA"/>
        </w:rPr>
        <w:t>甲拌磷为一种具有触杀、胃毒、熏蒸作用的有机磷类杀虫、杀螨剂。《食品安全国家标准 食品中农药最大残留限量》（GB 2763</w:t>
      </w:r>
      <w:r>
        <w:rPr>
          <w:rFonts w:hint="eastAsia" w:ascii="Times New Roman" w:hAnsi="Times New Roman" w:eastAsia="方正仿宋_GBK" w:cs="Times New Roman"/>
          <w:kern w:val="2"/>
          <w:sz w:val="32"/>
          <w:szCs w:val="22"/>
          <w:highlight w:val="none"/>
          <w:u w:val="none"/>
          <w:lang w:val="en-US" w:eastAsia="zh-CN" w:bidi="ar-SA"/>
        </w:rPr>
        <w:t>-</w:t>
      </w:r>
      <w:r>
        <w:rPr>
          <w:rFonts w:hint="default" w:ascii="Times New Roman" w:hAnsi="Times New Roman" w:eastAsia="方正仿宋_GBK" w:cs="Times New Roman"/>
          <w:kern w:val="2"/>
          <w:sz w:val="32"/>
          <w:szCs w:val="22"/>
          <w:highlight w:val="none"/>
          <w:u w:val="none"/>
          <w:lang w:val="en-US" w:eastAsia="zh-CN" w:bidi="ar-SA"/>
        </w:rPr>
        <w:t>20</w:t>
      </w:r>
      <w:r>
        <w:rPr>
          <w:rFonts w:hint="eastAsia" w:ascii="Times New Roman" w:hAnsi="Times New Roman" w:eastAsia="方正仿宋_GBK" w:cs="Times New Roman"/>
          <w:kern w:val="2"/>
          <w:sz w:val="32"/>
          <w:szCs w:val="22"/>
          <w:highlight w:val="none"/>
          <w:u w:val="none"/>
          <w:lang w:val="en-US" w:eastAsia="zh-CN" w:bidi="ar-SA"/>
        </w:rPr>
        <w:t>21</w:t>
      </w:r>
      <w:r>
        <w:rPr>
          <w:rFonts w:hint="default" w:ascii="Times New Roman" w:hAnsi="Times New Roman" w:eastAsia="方正仿宋_GBK" w:cs="Times New Roman"/>
          <w:kern w:val="2"/>
          <w:sz w:val="32"/>
          <w:szCs w:val="22"/>
          <w:highlight w:val="none"/>
          <w:u w:val="none"/>
          <w:lang w:val="en-US" w:eastAsia="zh-CN" w:bidi="ar-SA"/>
        </w:rPr>
        <w:t>）中规定，叶菜类蔬菜（如芹菜等）中甲拌磷残留限量值均不得超过0.01 mg/kg</w:t>
      </w:r>
      <w:r>
        <w:rPr>
          <w:rFonts w:hint="eastAsia" w:ascii="Times New Roman" w:hAnsi="Times New Roman" w:eastAsia="方正仿宋_GBK" w:cs="Times New Roman"/>
          <w:kern w:val="2"/>
          <w:sz w:val="32"/>
          <w:highlight w:val="none"/>
          <w:u w:val="none"/>
          <w:lang w:val="en-US" w:eastAsia="zh-CN" w:bidi="ar-SA"/>
        </w:rPr>
        <w:t>，不合格的</w:t>
      </w:r>
      <w:r>
        <w:rPr>
          <w:rFonts w:hint="default" w:ascii="Times New Roman" w:hAnsi="Times New Roman" w:eastAsia="方正仿宋_GBK" w:cs="Times New Roman"/>
          <w:kern w:val="2"/>
          <w:sz w:val="32"/>
          <w:highlight w:val="none"/>
          <w:u w:val="none"/>
          <w:lang w:val="en-US" w:eastAsia="zh-CN" w:bidi="ar-SA"/>
        </w:rPr>
        <w:t>主要原因是菜农为快速控制</w:t>
      </w:r>
      <w:r>
        <w:rPr>
          <w:rFonts w:hint="eastAsia" w:ascii="Times New Roman" w:hAnsi="Times New Roman" w:eastAsia="方正仿宋_GBK" w:cs="Times New Roman"/>
          <w:kern w:val="2"/>
          <w:sz w:val="32"/>
          <w:highlight w:val="none"/>
          <w:u w:val="none"/>
          <w:lang w:val="en-US" w:eastAsia="zh-CN" w:bidi="ar-SA"/>
        </w:rPr>
        <w:t>病</w:t>
      </w:r>
      <w:r>
        <w:rPr>
          <w:rFonts w:hint="default" w:ascii="Times New Roman" w:hAnsi="Times New Roman" w:eastAsia="方正仿宋_GBK" w:cs="Times New Roman"/>
          <w:kern w:val="2"/>
          <w:sz w:val="32"/>
          <w:highlight w:val="none"/>
          <w:u w:val="none"/>
          <w:lang w:val="en-US" w:eastAsia="zh-CN" w:bidi="ar-SA"/>
        </w:rPr>
        <w:t>害加大用药量，或未遵守采摘间隔期规定，致使上市销售时产品中的药物残留量未降解至标准限量以下。</w:t>
      </w:r>
    </w:p>
    <w:p>
      <w:pPr>
        <w:pStyle w:val="2"/>
        <w:rPr>
          <w:rFonts w:hint="eastAsia"/>
          <w:lang w:val="en-US" w:eastAsia="zh-CN"/>
        </w:rPr>
      </w:pPr>
    </w:p>
    <w:sectPr>
      <w:footerReference r:id="rId3" w:type="default"/>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altName w:val="方正书宋_GBK"/>
    <w:panose1 w:val="02010600030101010101"/>
    <w:charset w:val="86"/>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Liberation Serif">
    <w:panose1 w:val="02020603050405020304"/>
    <w:charset w:val="00"/>
    <w:family w:val="auto"/>
    <w:pitch w:val="default"/>
    <w:sig w:usb0="A00002AF" w:usb1="500078FB" w:usb2="00000000" w:usb3="00000000" w:csb0="6000009F" w:csb1="DFD70000"/>
  </w:font>
  <w:font w:name="微软雅黑">
    <w:altName w:val="方正黑体_GBK"/>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1087551"/>
    </w:sdtPr>
    <w:sdtContent>
      <w:p>
        <w:pPr>
          <w:pStyle w:val="5"/>
          <w:jc w:val="center"/>
        </w:pPr>
        <w:r>
          <w:fldChar w:fldCharType="begin"/>
        </w:r>
        <w:r>
          <w:instrText xml:space="preserve">PAGE   \* MERGEFORMAT</w:instrText>
        </w:r>
        <w:r>
          <w:fldChar w:fldCharType="separate"/>
        </w:r>
        <w:r>
          <w:rPr>
            <w:lang w:val="zh-CN"/>
          </w:rPr>
          <w:t>1</w:t>
        </w:r>
        <w: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9DFC8D"/>
    <w:multiLevelType w:val="singleLevel"/>
    <w:tmpl w:val="AF9DFC8D"/>
    <w:lvl w:ilvl="0" w:tentative="0">
      <w:start w:val="1"/>
      <w:numFmt w:val="chineseCounting"/>
      <w:suff w:val="nothing"/>
      <w:lvlText w:val="%1、"/>
      <w:lvlJc w:val="left"/>
      <w:pPr>
        <w:ind w:left="2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WUyZTVlOGZmNDAyOWRmOGQyZTQxMmU0MDdkYjc1MTAifQ=="/>
  </w:docVars>
  <w:rsids>
    <w:rsidRoot w:val="00E45F03"/>
    <w:rsid w:val="0000231D"/>
    <w:rsid w:val="00015F96"/>
    <w:rsid w:val="00026069"/>
    <w:rsid w:val="00057C9D"/>
    <w:rsid w:val="0007233C"/>
    <w:rsid w:val="000774CF"/>
    <w:rsid w:val="000800AE"/>
    <w:rsid w:val="00082CA4"/>
    <w:rsid w:val="00097E5A"/>
    <w:rsid w:val="000A1CA7"/>
    <w:rsid w:val="000C7DEB"/>
    <w:rsid w:val="000E599A"/>
    <w:rsid w:val="000F4094"/>
    <w:rsid w:val="000F4B86"/>
    <w:rsid w:val="00102897"/>
    <w:rsid w:val="0011343E"/>
    <w:rsid w:val="00113712"/>
    <w:rsid w:val="00124BDE"/>
    <w:rsid w:val="00143CEB"/>
    <w:rsid w:val="00150D3C"/>
    <w:rsid w:val="00156C2C"/>
    <w:rsid w:val="0016724E"/>
    <w:rsid w:val="00184325"/>
    <w:rsid w:val="001901F9"/>
    <w:rsid w:val="00197EF7"/>
    <w:rsid w:val="001A6ADF"/>
    <w:rsid w:val="001C4310"/>
    <w:rsid w:val="001E7C5C"/>
    <w:rsid w:val="00266BCB"/>
    <w:rsid w:val="00281BF8"/>
    <w:rsid w:val="00282E6B"/>
    <w:rsid w:val="0029329A"/>
    <w:rsid w:val="002B384B"/>
    <w:rsid w:val="002F2143"/>
    <w:rsid w:val="00314DD5"/>
    <w:rsid w:val="00326D09"/>
    <w:rsid w:val="00327E2B"/>
    <w:rsid w:val="0033185A"/>
    <w:rsid w:val="0034436D"/>
    <w:rsid w:val="003455E6"/>
    <w:rsid w:val="00353FDE"/>
    <w:rsid w:val="0035764C"/>
    <w:rsid w:val="00357F27"/>
    <w:rsid w:val="0038633A"/>
    <w:rsid w:val="00395129"/>
    <w:rsid w:val="00397CD0"/>
    <w:rsid w:val="003C5A99"/>
    <w:rsid w:val="003D0B3F"/>
    <w:rsid w:val="00412DAF"/>
    <w:rsid w:val="0041724F"/>
    <w:rsid w:val="00417336"/>
    <w:rsid w:val="00434D19"/>
    <w:rsid w:val="004364F8"/>
    <w:rsid w:val="004478FC"/>
    <w:rsid w:val="00453AF8"/>
    <w:rsid w:val="004A4E67"/>
    <w:rsid w:val="004A654B"/>
    <w:rsid w:val="004B5F74"/>
    <w:rsid w:val="004F3D58"/>
    <w:rsid w:val="00500816"/>
    <w:rsid w:val="00506E78"/>
    <w:rsid w:val="00527CAA"/>
    <w:rsid w:val="005317AB"/>
    <w:rsid w:val="00534A48"/>
    <w:rsid w:val="00546FD2"/>
    <w:rsid w:val="0057056D"/>
    <w:rsid w:val="0057524F"/>
    <w:rsid w:val="005771A5"/>
    <w:rsid w:val="005A7BC0"/>
    <w:rsid w:val="005B58B4"/>
    <w:rsid w:val="005D7D45"/>
    <w:rsid w:val="00642355"/>
    <w:rsid w:val="00674ABF"/>
    <w:rsid w:val="0068132F"/>
    <w:rsid w:val="00687316"/>
    <w:rsid w:val="006F32DE"/>
    <w:rsid w:val="006F7339"/>
    <w:rsid w:val="00734B44"/>
    <w:rsid w:val="00737AFE"/>
    <w:rsid w:val="00742115"/>
    <w:rsid w:val="007505B0"/>
    <w:rsid w:val="00752908"/>
    <w:rsid w:val="0077575E"/>
    <w:rsid w:val="00776059"/>
    <w:rsid w:val="0077710D"/>
    <w:rsid w:val="00783A82"/>
    <w:rsid w:val="007D2E0E"/>
    <w:rsid w:val="007F5524"/>
    <w:rsid w:val="00804CA1"/>
    <w:rsid w:val="008117B8"/>
    <w:rsid w:val="00880F04"/>
    <w:rsid w:val="00895177"/>
    <w:rsid w:val="0089610B"/>
    <w:rsid w:val="008B286A"/>
    <w:rsid w:val="008D7ECA"/>
    <w:rsid w:val="008E022C"/>
    <w:rsid w:val="00900928"/>
    <w:rsid w:val="0093297A"/>
    <w:rsid w:val="009756BD"/>
    <w:rsid w:val="0098625A"/>
    <w:rsid w:val="009927AB"/>
    <w:rsid w:val="009B0C8D"/>
    <w:rsid w:val="009B17D9"/>
    <w:rsid w:val="009B1CE0"/>
    <w:rsid w:val="009C78F5"/>
    <w:rsid w:val="009D0616"/>
    <w:rsid w:val="009D0E09"/>
    <w:rsid w:val="009E0C03"/>
    <w:rsid w:val="009E252B"/>
    <w:rsid w:val="009F4B8A"/>
    <w:rsid w:val="00A13243"/>
    <w:rsid w:val="00A1575B"/>
    <w:rsid w:val="00A339B7"/>
    <w:rsid w:val="00A370EE"/>
    <w:rsid w:val="00A47C13"/>
    <w:rsid w:val="00AA746A"/>
    <w:rsid w:val="00AB0288"/>
    <w:rsid w:val="00AB1112"/>
    <w:rsid w:val="00AB3E33"/>
    <w:rsid w:val="00AB7501"/>
    <w:rsid w:val="00AC37A4"/>
    <w:rsid w:val="00AC79C1"/>
    <w:rsid w:val="00B147BF"/>
    <w:rsid w:val="00B2770C"/>
    <w:rsid w:val="00B50B7B"/>
    <w:rsid w:val="00B605D9"/>
    <w:rsid w:val="00B60BFA"/>
    <w:rsid w:val="00BA54E8"/>
    <w:rsid w:val="00BA6F7F"/>
    <w:rsid w:val="00BC5A14"/>
    <w:rsid w:val="00C03DAE"/>
    <w:rsid w:val="00C24969"/>
    <w:rsid w:val="00C64241"/>
    <w:rsid w:val="00C866ED"/>
    <w:rsid w:val="00CB1B93"/>
    <w:rsid w:val="00CC6CCA"/>
    <w:rsid w:val="00CD571D"/>
    <w:rsid w:val="00CE0330"/>
    <w:rsid w:val="00CE13D2"/>
    <w:rsid w:val="00CF0D96"/>
    <w:rsid w:val="00D11774"/>
    <w:rsid w:val="00D16C55"/>
    <w:rsid w:val="00D2271C"/>
    <w:rsid w:val="00D413F8"/>
    <w:rsid w:val="00D43DB8"/>
    <w:rsid w:val="00D731C9"/>
    <w:rsid w:val="00D762A4"/>
    <w:rsid w:val="00DC7CCF"/>
    <w:rsid w:val="00DE52CB"/>
    <w:rsid w:val="00DF45E6"/>
    <w:rsid w:val="00E438EF"/>
    <w:rsid w:val="00E45F03"/>
    <w:rsid w:val="00E54728"/>
    <w:rsid w:val="00E5769E"/>
    <w:rsid w:val="00E610CF"/>
    <w:rsid w:val="00E7052B"/>
    <w:rsid w:val="00E75233"/>
    <w:rsid w:val="00E764E7"/>
    <w:rsid w:val="00EB75F7"/>
    <w:rsid w:val="00EF2FC7"/>
    <w:rsid w:val="00EF73EB"/>
    <w:rsid w:val="00F56DA2"/>
    <w:rsid w:val="00F64B8F"/>
    <w:rsid w:val="00F8113A"/>
    <w:rsid w:val="00F932D3"/>
    <w:rsid w:val="00FB5CDD"/>
    <w:rsid w:val="00FC246E"/>
    <w:rsid w:val="00FD601C"/>
    <w:rsid w:val="00FE1AF9"/>
    <w:rsid w:val="00FE65C8"/>
    <w:rsid w:val="02E53ED2"/>
    <w:rsid w:val="03731FD8"/>
    <w:rsid w:val="03BD43D7"/>
    <w:rsid w:val="04FD0185"/>
    <w:rsid w:val="06012255"/>
    <w:rsid w:val="0643453F"/>
    <w:rsid w:val="083119A6"/>
    <w:rsid w:val="08C70051"/>
    <w:rsid w:val="0A2246B7"/>
    <w:rsid w:val="0B23740C"/>
    <w:rsid w:val="0BF55D05"/>
    <w:rsid w:val="0E3E57FB"/>
    <w:rsid w:val="0E6E3364"/>
    <w:rsid w:val="0EA50231"/>
    <w:rsid w:val="0F830F05"/>
    <w:rsid w:val="0F9EF1F3"/>
    <w:rsid w:val="0FD83CA6"/>
    <w:rsid w:val="0FEE1D9C"/>
    <w:rsid w:val="110C4FEA"/>
    <w:rsid w:val="110F570C"/>
    <w:rsid w:val="112B137C"/>
    <w:rsid w:val="125E1B94"/>
    <w:rsid w:val="13A02D2C"/>
    <w:rsid w:val="157E5278"/>
    <w:rsid w:val="15BF1382"/>
    <w:rsid w:val="169D136B"/>
    <w:rsid w:val="17DE0CBD"/>
    <w:rsid w:val="18CE4512"/>
    <w:rsid w:val="190A207C"/>
    <w:rsid w:val="190E6EE0"/>
    <w:rsid w:val="199130D1"/>
    <w:rsid w:val="199303A5"/>
    <w:rsid w:val="19AA4605"/>
    <w:rsid w:val="1A8E79BC"/>
    <w:rsid w:val="1A943B45"/>
    <w:rsid w:val="1AF411D7"/>
    <w:rsid w:val="1B6D47CE"/>
    <w:rsid w:val="1BFF1386"/>
    <w:rsid w:val="1C0D4647"/>
    <w:rsid w:val="1E526692"/>
    <w:rsid w:val="1F245FB8"/>
    <w:rsid w:val="1F5254D4"/>
    <w:rsid w:val="20734AD8"/>
    <w:rsid w:val="217B58C1"/>
    <w:rsid w:val="21FD7A99"/>
    <w:rsid w:val="22EE5E6A"/>
    <w:rsid w:val="22FB77CB"/>
    <w:rsid w:val="230DE398"/>
    <w:rsid w:val="23E40E7A"/>
    <w:rsid w:val="246868F4"/>
    <w:rsid w:val="24B40E16"/>
    <w:rsid w:val="24C105FB"/>
    <w:rsid w:val="25706FEB"/>
    <w:rsid w:val="27E90029"/>
    <w:rsid w:val="28926171"/>
    <w:rsid w:val="28F7C6EF"/>
    <w:rsid w:val="28FE5380"/>
    <w:rsid w:val="293C4333"/>
    <w:rsid w:val="2A266F86"/>
    <w:rsid w:val="2B453547"/>
    <w:rsid w:val="2D024FEE"/>
    <w:rsid w:val="2F3A64DA"/>
    <w:rsid w:val="2F5FF82E"/>
    <w:rsid w:val="2F8980BA"/>
    <w:rsid w:val="2FFF3C79"/>
    <w:rsid w:val="2FFFEB58"/>
    <w:rsid w:val="313B60D6"/>
    <w:rsid w:val="32BF9929"/>
    <w:rsid w:val="343B3C9B"/>
    <w:rsid w:val="34A10D49"/>
    <w:rsid w:val="353051B6"/>
    <w:rsid w:val="35CD32DE"/>
    <w:rsid w:val="35D3C0FF"/>
    <w:rsid w:val="37B5B0DF"/>
    <w:rsid w:val="39E4139A"/>
    <w:rsid w:val="3A066159"/>
    <w:rsid w:val="3B7ED31C"/>
    <w:rsid w:val="3BBF5734"/>
    <w:rsid w:val="3BE114CD"/>
    <w:rsid w:val="3BFF4D0F"/>
    <w:rsid w:val="3CBB6A1F"/>
    <w:rsid w:val="3D066ED4"/>
    <w:rsid w:val="3D5B7861"/>
    <w:rsid w:val="3D8A31F3"/>
    <w:rsid w:val="3DA70F84"/>
    <w:rsid w:val="3E573C31"/>
    <w:rsid w:val="3E692505"/>
    <w:rsid w:val="3EF70C9F"/>
    <w:rsid w:val="3FBF13ED"/>
    <w:rsid w:val="3FD02490"/>
    <w:rsid w:val="3FFD62C4"/>
    <w:rsid w:val="40DF5746"/>
    <w:rsid w:val="41011D84"/>
    <w:rsid w:val="426B3C81"/>
    <w:rsid w:val="449A0830"/>
    <w:rsid w:val="44CF69EE"/>
    <w:rsid w:val="45107FD3"/>
    <w:rsid w:val="46601D24"/>
    <w:rsid w:val="47075DCC"/>
    <w:rsid w:val="47811D3F"/>
    <w:rsid w:val="48655E99"/>
    <w:rsid w:val="488E348C"/>
    <w:rsid w:val="4AA63504"/>
    <w:rsid w:val="4C8B783D"/>
    <w:rsid w:val="4D920623"/>
    <w:rsid w:val="4E836A31"/>
    <w:rsid w:val="4FAD0645"/>
    <w:rsid w:val="4FC70334"/>
    <w:rsid w:val="4FD60C7C"/>
    <w:rsid w:val="52D4703A"/>
    <w:rsid w:val="534230F9"/>
    <w:rsid w:val="54D163A0"/>
    <w:rsid w:val="555B5CD3"/>
    <w:rsid w:val="575B13D1"/>
    <w:rsid w:val="577B200D"/>
    <w:rsid w:val="57A53A3A"/>
    <w:rsid w:val="57BDDC82"/>
    <w:rsid w:val="57CB2923"/>
    <w:rsid w:val="5AFFEA09"/>
    <w:rsid w:val="5C9E489B"/>
    <w:rsid w:val="5CC74388"/>
    <w:rsid w:val="5E0540D0"/>
    <w:rsid w:val="5E4907CD"/>
    <w:rsid w:val="5F7B3A23"/>
    <w:rsid w:val="5FE6D425"/>
    <w:rsid w:val="5FFF4665"/>
    <w:rsid w:val="61DD6D44"/>
    <w:rsid w:val="63DF171E"/>
    <w:rsid w:val="65CF6D9C"/>
    <w:rsid w:val="65FFB26C"/>
    <w:rsid w:val="66023456"/>
    <w:rsid w:val="66325BC9"/>
    <w:rsid w:val="66B2626D"/>
    <w:rsid w:val="67282ECF"/>
    <w:rsid w:val="673FC0B4"/>
    <w:rsid w:val="67AB41B6"/>
    <w:rsid w:val="689C4C03"/>
    <w:rsid w:val="68FA2757"/>
    <w:rsid w:val="696DD54B"/>
    <w:rsid w:val="69F83E9D"/>
    <w:rsid w:val="6A945E1B"/>
    <w:rsid w:val="6BA279B0"/>
    <w:rsid w:val="6BB87E7B"/>
    <w:rsid w:val="6BBBAF32"/>
    <w:rsid w:val="6D0E14DC"/>
    <w:rsid w:val="6F6FCE94"/>
    <w:rsid w:val="71AF4D28"/>
    <w:rsid w:val="730C532F"/>
    <w:rsid w:val="73B2774B"/>
    <w:rsid w:val="73BC2552"/>
    <w:rsid w:val="73F564A7"/>
    <w:rsid w:val="740B3C12"/>
    <w:rsid w:val="74E00729"/>
    <w:rsid w:val="75057978"/>
    <w:rsid w:val="75202347"/>
    <w:rsid w:val="7593147D"/>
    <w:rsid w:val="76246CC8"/>
    <w:rsid w:val="76BF1C19"/>
    <w:rsid w:val="76D75FC2"/>
    <w:rsid w:val="77887501"/>
    <w:rsid w:val="77DF9F9B"/>
    <w:rsid w:val="77E37BF6"/>
    <w:rsid w:val="77EFBFA0"/>
    <w:rsid w:val="78971D8D"/>
    <w:rsid w:val="78EA5C2B"/>
    <w:rsid w:val="79464C25"/>
    <w:rsid w:val="79516C02"/>
    <w:rsid w:val="79CB70EC"/>
    <w:rsid w:val="79EF92A3"/>
    <w:rsid w:val="7AEF50DD"/>
    <w:rsid w:val="7AFF1FDA"/>
    <w:rsid w:val="7B9FEBE1"/>
    <w:rsid w:val="7BC16283"/>
    <w:rsid w:val="7BE61DA8"/>
    <w:rsid w:val="7BF77124"/>
    <w:rsid w:val="7C6619F8"/>
    <w:rsid w:val="7DAB5A58"/>
    <w:rsid w:val="7DC149D8"/>
    <w:rsid w:val="7DFF2D85"/>
    <w:rsid w:val="7E274B0C"/>
    <w:rsid w:val="7ECE4128"/>
    <w:rsid w:val="7EF5D8F9"/>
    <w:rsid w:val="7F3F9D27"/>
    <w:rsid w:val="7F77305C"/>
    <w:rsid w:val="7F77CFFA"/>
    <w:rsid w:val="7F7F6AAB"/>
    <w:rsid w:val="7F972554"/>
    <w:rsid w:val="7FAAA59C"/>
    <w:rsid w:val="7FAF1A78"/>
    <w:rsid w:val="7FBB2204"/>
    <w:rsid w:val="7FC7A2FE"/>
    <w:rsid w:val="7FD92FCE"/>
    <w:rsid w:val="7FDE022A"/>
    <w:rsid w:val="7FDE0516"/>
    <w:rsid w:val="7FDEE165"/>
    <w:rsid w:val="7FF6324C"/>
    <w:rsid w:val="7FFB63B1"/>
    <w:rsid w:val="7FFBC323"/>
    <w:rsid w:val="85CF448D"/>
    <w:rsid w:val="89F22F62"/>
    <w:rsid w:val="8BE76863"/>
    <w:rsid w:val="95BD20E8"/>
    <w:rsid w:val="A25F6545"/>
    <w:rsid w:val="A7C5467D"/>
    <w:rsid w:val="A7F588A4"/>
    <w:rsid w:val="ABCFB818"/>
    <w:rsid w:val="ABFBF616"/>
    <w:rsid w:val="B33FEA55"/>
    <w:rsid w:val="B4D086C0"/>
    <w:rsid w:val="B9AD008D"/>
    <w:rsid w:val="BA7B23C6"/>
    <w:rsid w:val="BBEE61D5"/>
    <w:rsid w:val="BDDF9733"/>
    <w:rsid w:val="BF6903CB"/>
    <w:rsid w:val="BF73B3EC"/>
    <w:rsid w:val="BF77EBD6"/>
    <w:rsid w:val="BFBFF716"/>
    <w:rsid w:val="BFFFE9F5"/>
    <w:rsid w:val="BFFFEA05"/>
    <w:rsid w:val="C7BF155C"/>
    <w:rsid w:val="D59F7A23"/>
    <w:rsid w:val="D5FE1140"/>
    <w:rsid w:val="D6FFFCC9"/>
    <w:rsid w:val="DDF5BFEA"/>
    <w:rsid w:val="DDFF4777"/>
    <w:rsid w:val="DFDE77E3"/>
    <w:rsid w:val="DFFE471E"/>
    <w:rsid w:val="E5FB529B"/>
    <w:rsid w:val="E7FF09A6"/>
    <w:rsid w:val="E8FDFFC9"/>
    <w:rsid w:val="EBFB0C7E"/>
    <w:rsid w:val="ED76D6E8"/>
    <w:rsid w:val="EDFD6938"/>
    <w:rsid w:val="EEFD9629"/>
    <w:rsid w:val="EEFF22F4"/>
    <w:rsid w:val="EFFF94FF"/>
    <w:rsid w:val="F15F95D9"/>
    <w:rsid w:val="F52EA8C1"/>
    <w:rsid w:val="F586E40D"/>
    <w:rsid w:val="F5CFF2A7"/>
    <w:rsid w:val="F5DFD693"/>
    <w:rsid w:val="F676AF9D"/>
    <w:rsid w:val="F77DACB5"/>
    <w:rsid w:val="F77EDC06"/>
    <w:rsid w:val="F9741810"/>
    <w:rsid w:val="F9D644EC"/>
    <w:rsid w:val="FB772F61"/>
    <w:rsid w:val="FB7F583B"/>
    <w:rsid w:val="FB7F6772"/>
    <w:rsid w:val="FBAF4E1A"/>
    <w:rsid w:val="FBFB024C"/>
    <w:rsid w:val="FD7FF06D"/>
    <w:rsid w:val="FEBD9270"/>
    <w:rsid w:val="FEDD18BB"/>
    <w:rsid w:val="FF5787E3"/>
    <w:rsid w:val="FF5FC2EF"/>
    <w:rsid w:val="FF7E52F0"/>
    <w:rsid w:val="FF7F41D3"/>
    <w:rsid w:val="FF9B8B7D"/>
    <w:rsid w:val="FFB5F7AE"/>
    <w:rsid w:val="FFCC5B6F"/>
    <w:rsid w:val="FFD68914"/>
    <w:rsid w:val="FFDAAAD9"/>
    <w:rsid w:val="FFDC6E9A"/>
    <w:rsid w:val="FFF67C2D"/>
    <w:rsid w:val="FFFA9A5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adjustRightInd w:val="0"/>
      <w:ind w:left="0" w:leftChars="0" w:firstLine="880" w:firstLineChars="200"/>
    </w:pPr>
    <w:rPr>
      <w:rFonts w:ascii="Calibri" w:hAnsi="Calibri" w:eastAsia="仿宋" w:cs="Times New Roman"/>
      <w:sz w:val="32"/>
    </w:rPr>
  </w:style>
  <w:style w:type="paragraph" w:styleId="3">
    <w:name w:val="Body Text Indent"/>
    <w:basedOn w:val="1"/>
    <w:semiHidden/>
    <w:unhideWhenUsed/>
    <w:qFormat/>
    <w:uiPriority w:val="99"/>
    <w:pPr>
      <w:spacing w:after="120"/>
      <w:ind w:left="420" w:leftChars="200"/>
    </w:pPr>
  </w:style>
  <w:style w:type="paragraph" w:styleId="4">
    <w:name w:val="Balloon Text"/>
    <w:basedOn w:val="1"/>
    <w:link w:val="22"/>
    <w:unhideWhenUsed/>
    <w:qFormat/>
    <w:uiPriority w:val="99"/>
    <w:rPr>
      <w:sz w:val="18"/>
      <w:szCs w:val="18"/>
    </w:rPr>
  </w:style>
  <w:style w:type="paragraph" w:styleId="5">
    <w:name w:val="footer"/>
    <w:basedOn w:val="1"/>
    <w:link w:val="20"/>
    <w:unhideWhenUsed/>
    <w:qFormat/>
    <w:uiPriority w:val="99"/>
    <w:pPr>
      <w:tabs>
        <w:tab w:val="center" w:pos="4153"/>
        <w:tab w:val="right" w:pos="8306"/>
      </w:tabs>
      <w:snapToGrid w:val="0"/>
      <w:jc w:val="left"/>
    </w:pPr>
    <w:rPr>
      <w:sz w:val="18"/>
      <w:szCs w:val="18"/>
    </w:rPr>
  </w:style>
  <w:style w:type="paragraph" w:styleId="6">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spacing w:before="100" w:beforeAutospacing="1" w:after="100" w:afterAutospacing="1"/>
      <w:jc w:val="left"/>
    </w:pPr>
    <w:rPr>
      <w:kern w:val="0"/>
      <w:sz w:val="24"/>
    </w:rPr>
  </w:style>
  <w:style w:type="character" w:styleId="10">
    <w:name w:val="Strong"/>
    <w:basedOn w:val="9"/>
    <w:qFormat/>
    <w:uiPriority w:val="22"/>
    <w:rPr>
      <w:b/>
    </w:rPr>
  </w:style>
  <w:style w:type="character" w:styleId="11">
    <w:name w:val="FollowedHyperlink"/>
    <w:basedOn w:val="9"/>
    <w:semiHidden/>
    <w:unhideWhenUsed/>
    <w:qFormat/>
    <w:uiPriority w:val="99"/>
    <w:rPr>
      <w:color w:val="0063C8"/>
      <w:u w:val="none"/>
    </w:rPr>
  </w:style>
  <w:style w:type="character" w:styleId="12">
    <w:name w:val="Emphasis"/>
    <w:basedOn w:val="9"/>
    <w:qFormat/>
    <w:uiPriority w:val="20"/>
  </w:style>
  <w:style w:type="character" w:styleId="13">
    <w:name w:val="HTML Definition"/>
    <w:basedOn w:val="9"/>
    <w:semiHidden/>
    <w:unhideWhenUsed/>
    <w:qFormat/>
    <w:uiPriority w:val="99"/>
  </w:style>
  <w:style w:type="character" w:styleId="14">
    <w:name w:val="HTML Acronym"/>
    <w:basedOn w:val="9"/>
    <w:semiHidden/>
    <w:unhideWhenUsed/>
    <w:qFormat/>
    <w:uiPriority w:val="99"/>
  </w:style>
  <w:style w:type="character" w:styleId="15">
    <w:name w:val="HTML Variable"/>
    <w:basedOn w:val="9"/>
    <w:semiHidden/>
    <w:unhideWhenUsed/>
    <w:qFormat/>
    <w:uiPriority w:val="99"/>
  </w:style>
  <w:style w:type="character" w:styleId="16">
    <w:name w:val="Hyperlink"/>
    <w:basedOn w:val="9"/>
    <w:unhideWhenUsed/>
    <w:qFormat/>
    <w:uiPriority w:val="99"/>
    <w:rPr>
      <w:color w:val="0063C8"/>
      <w:u w:val="none"/>
    </w:rPr>
  </w:style>
  <w:style w:type="character" w:styleId="17">
    <w:name w:val="HTML Code"/>
    <w:basedOn w:val="9"/>
    <w:semiHidden/>
    <w:unhideWhenUsed/>
    <w:qFormat/>
    <w:uiPriority w:val="99"/>
    <w:rPr>
      <w:rFonts w:ascii="Courier New" w:hAnsi="Courier New"/>
      <w:sz w:val="20"/>
    </w:rPr>
  </w:style>
  <w:style w:type="character" w:styleId="18">
    <w:name w:val="HTML Cite"/>
    <w:basedOn w:val="9"/>
    <w:semiHidden/>
    <w:unhideWhenUsed/>
    <w:qFormat/>
    <w:uiPriority w:val="99"/>
  </w:style>
  <w:style w:type="character" w:customStyle="1" w:styleId="19">
    <w:name w:val="页眉 字符"/>
    <w:basedOn w:val="9"/>
    <w:link w:val="6"/>
    <w:qFormat/>
    <w:uiPriority w:val="99"/>
    <w:rPr>
      <w:sz w:val="18"/>
      <w:szCs w:val="18"/>
    </w:rPr>
  </w:style>
  <w:style w:type="character" w:customStyle="1" w:styleId="20">
    <w:name w:val="页脚 字符"/>
    <w:basedOn w:val="9"/>
    <w:link w:val="5"/>
    <w:qFormat/>
    <w:uiPriority w:val="99"/>
    <w:rPr>
      <w:sz w:val="18"/>
      <w:szCs w:val="18"/>
    </w:rPr>
  </w:style>
  <w:style w:type="paragraph" w:styleId="21">
    <w:name w:val="List Paragraph"/>
    <w:basedOn w:val="1"/>
    <w:qFormat/>
    <w:uiPriority w:val="34"/>
    <w:pPr>
      <w:ind w:firstLine="420" w:firstLineChars="200"/>
    </w:pPr>
  </w:style>
  <w:style w:type="character" w:customStyle="1" w:styleId="22">
    <w:name w:val="批注框文本 字符"/>
    <w:basedOn w:val="9"/>
    <w:link w:val="4"/>
    <w:semiHidden/>
    <w:qFormat/>
    <w:uiPriority w:val="99"/>
    <w:rPr>
      <w:sz w:val="18"/>
      <w:szCs w:val="18"/>
    </w:rPr>
  </w:style>
  <w:style w:type="character" w:customStyle="1" w:styleId="23">
    <w:name w:val="mr-prof"/>
    <w:basedOn w:val="9"/>
    <w:qFormat/>
    <w:uiPriority w:val="0"/>
  </w:style>
  <w:style w:type="character" w:customStyle="1" w:styleId="24">
    <w:name w:val="btn-task-gray2"/>
    <w:basedOn w:val="9"/>
    <w:qFormat/>
    <w:uiPriority w:val="0"/>
    <w:rPr>
      <w:color w:val="FFFFFF"/>
      <w:u w:val="none"/>
      <w:shd w:val="clear" w:color="auto" w:fill="CCCCCC"/>
    </w:rPr>
  </w:style>
  <w:style w:type="character" w:customStyle="1" w:styleId="25">
    <w:name w:val="hover37"/>
    <w:basedOn w:val="9"/>
    <w:qFormat/>
    <w:uiPriority w:val="0"/>
    <w:rPr>
      <w:color w:val="3EAF0E"/>
    </w:rPr>
  </w:style>
  <w:style w:type="character" w:customStyle="1" w:styleId="26">
    <w:name w:val="s16"/>
    <w:basedOn w:val="9"/>
    <w:qFormat/>
    <w:uiPriority w:val="0"/>
    <w:rPr>
      <w:color w:val="DDDDDD"/>
      <w:sz w:val="14"/>
      <w:szCs w:val="1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http://sdwm.org</Company>
  <Pages>2</Pages>
  <Words>698</Words>
  <Characters>765</Characters>
  <Lines>22</Lines>
  <Paragraphs>6</Paragraphs>
  <TotalTime>0</TotalTime>
  <ScaleCrop>false</ScaleCrop>
  <LinksUpToDate>false</LinksUpToDate>
  <CharactersWithSpaces>774</CharactersWithSpaces>
  <Application>WPS Office_11.8.2.12019_F1E327BC-269C-435d-A152-05C5408002CA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2019-05-10T04:31:00Z</dcterms:created>
  <dc:creator>SDWM</dc:creator>
  <cp:lastModifiedBy>魏立慧</cp:lastModifiedBy>
  <cp:lastPrinted>2016-10-03T02:58:00Z</cp:lastPrinted>
  <dcterms:modified xsi:type="dcterms:W3CDTF">2025-02-11T17:05:36Z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2052-11.8.2.12019</vt:lpwstr>
  </property>
  <property fmtid="{D5CDD505-2E9C-101B-9397-08002B2CF9AE}" pid="3" name="ICV">
    <vt:lpwstr>F46EFFB5EC0D4DB5A641BE2063BCF22F</vt:lpwstr>
  </property>
</Properties>
</file>