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line="524" w:lineRule="atLeas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丰台区2024年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  <w:t>成人鞋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产品质量监督抽查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line="524" w:lineRule="atLeas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结果公示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按照《中华人民共和国产品质量法》《产品质量监督抽查管理暂行办法》等法律、规章，以及本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产品质量监督抽查计划，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丰台区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市场监督管理局将近年抽查不合格率较高的检测项目纳入实施细则,聚焦易出问题的经营场所和品牌，组织开展了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成人鞋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产品质量监督抽查，共检出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批次产品质量不符合相关标准，检验结果不合格，不合格项目为标识、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成鞋耐折性能、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勾心长度下限值等。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19" w:lineRule="atLeas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对于抽查发现的不合格产品生产者、销售者，丰台区市场监督管理局已依法进行处理，并督促相关经营主体及时下架不合格产品，防止其流向市场，全面消除不合格产品安全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隐患，守牢产品质量安全底线。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丰台区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市场监督管理局建议消费者在购买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成人鞋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产品时，应仔细查看标识，标识标注应包含规格型号、产品名称、执行标准、厂名厂址等方面的重要信息；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注意做工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，鞋周边的线缝得是否均匀；鞋面是否整洁，有无疤点；鞋底、鞋帮粘合是否牢固、平整、美观，有无跳线，两只鞋相同部位的色泽、花纹等质感是否一致。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 w:firstLine="640"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附件：不合格产品信息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 w:firstLine="640"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/>
        <w:jc w:val="righ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丰台区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市场监督管理局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　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E4BDB"/>
    <w:rsid w:val="02EF0266"/>
    <w:rsid w:val="08A261D6"/>
    <w:rsid w:val="1A1A3483"/>
    <w:rsid w:val="1AA30455"/>
    <w:rsid w:val="42BC12D2"/>
    <w:rsid w:val="5FC94B40"/>
    <w:rsid w:val="7EA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hover25"/>
    <w:basedOn w:val="4"/>
    <w:qFormat/>
    <w:uiPriority w:val="0"/>
    <w:rPr>
      <w:u w:val="none"/>
    </w:rPr>
  </w:style>
  <w:style w:type="character" w:customStyle="1" w:styleId="9">
    <w:name w:val="hover26"/>
    <w:basedOn w:val="4"/>
    <w:qFormat/>
    <w:uiPriority w:val="0"/>
    <w:rPr>
      <w:color w:val="5FB878"/>
    </w:rPr>
  </w:style>
  <w:style w:type="character" w:customStyle="1" w:styleId="10">
    <w:name w:val="hover27"/>
    <w:basedOn w:val="4"/>
    <w:uiPriority w:val="0"/>
    <w:rPr>
      <w:color w:val="5FB878"/>
    </w:rPr>
  </w:style>
  <w:style w:type="character" w:customStyle="1" w:styleId="11">
    <w:name w:val="hover28"/>
    <w:basedOn w:val="4"/>
    <w:qFormat/>
    <w:uiPriority w:val="0"/>
    <w:rPr>
      <w:color w:val="FFFFFF"/>
    </w:rPr>
  </w:style>
  <w:style w:type="character" w:customStyle="1" w:styleId="12">
    <w:name w:val="sx"/>
    <w:basedOn w:val="4"/>
    <w:qFormat/>
    <w:uiPriority w:val="0"/>
    <w:rPr>
      <w:vanish/>
    </w:rPr>
  </w:style>
  <w:style w:type="character" w:customStyle="1" w:styleId="13">
    <w:name w:val="cur"/>
    <w:basedOn w:val="4"/>
    <w:qFormat/>
    <w:uiPriority w:val="0"/>
  </w:style>
  <w:style w:type="character" w:customStyle="1" w:styleId="14">
    <w:name w:val="cur1"/>
    <w:basedOn w:val="4"/>
    <w:uiPriority w:val="0"/>
  </w:style>
  <w:style w:type="character" w:customStyle="1" w:styleId="15">
    <w:name w:val="first-child"/>
    <w:basedOn w:val="4"/>
    <w:qFormat/>
    <w:uiPriority w:val="0"/>
  </w:style>
  <w:style w:type="character" w:customStyle="1" w:styleId="16">
    <w:name w:val="layui-this"/>
    <w:basedOn w:val="4"/>
    <w:qFormat/>
    <w:uiPriority w:val="0"/>
    <w:rPr>
      <w:bdr w:val="single" w:color="EEEEEE" w:sz="4" w:space="0"/>
      <w:shd w:val="clear" w:fill="FFFFFF"/>
    </w:rPr>
  </w:style>
  <w:style w:type="character" w:customStyle="1" w:styleId="17">
    <w:name w:val="hover29"/>
    <w:basedOn w:val="4"/>
    <w:qFormat/>
    <w:uiPriority w:val="0"/>
    <w:rPr>
      <w:color w:val="5FB878"/>
    </w:rPr>
  </w:style>
  <w:style w:type="character" w:customStyle="1" w:styleId="18">
    <w:name w:val="layui-this2"/>
    <w:basedOn w:val="4"/>
    <w:qFormat/>
    <w:uiPriority w:val="0"/>
    <w:rPr>
      <w:bdr w:val="single" w:color="EEEEEE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2024-10-14T07:00:00Z</dcterms:created>
  <dc:creator>阿黑</dc:creator>
  <cp:lastModifiedBy>阿黑</cp:lastModifiedBy>
  <dcterms:modified xsi:type="dcterms:W3CDTF">2025-04-23T04:21:58Z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