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880F">
      <w:pPr>
        <w:spacing w:line="560" w:lineRule="exact"/>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4</w:t>
      </w:r>
    </w:p>
    <w:p w14:paraId="634FDF38">
      <w:pPr>
        <w:spacing w:line="700" w:lineRule="exact"/>
        <w:jc w:val="center"/>
        <w:rPr>
          <w:rFonts w:hint="eastAsia" w:ascii="方正小标宋简体" w:eastAsia="方正小标宋简体"/>
          <w:color w:val="auto"/>
          <w:spacing w:val="-12"/>
          <w:sz w:val="44"/>
          <w:szCs w:val="44"/>
          <w:highlight w:val="none"/>
        </w:rPr>
      </w:pPr>
      <w:r>
        <w:rPr>
          <w:rFonts w:hint="eastAsia" w:ascii="方正小标宋简体" w:eastAsia="方正小标宋简体"/>
          <w:color w:val="auto"/>
          <w:spacing w:val="-12"/>
          <w:sz w:val="44"/>
          <w:szCs w:val="44"/>
          <w:highlight w:val="none"/>
        </w:rPr>
        <w:t>关于部分检验项目的说明</w:t>
      </w:r>
    </w:p>
    <w:p w14:paraId="34FB80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40" w:firstLineChars="200"/>
        <w:textAlignment w:val="auto"/>
        <w:rPr>
          <w:rFonts w:hint="eastAsia" w:eastAsia="黑体"/>
          <w:color w:val="auto"/>
          <w:sz w:val="32"/>
          <w:szCs w:val="32"/>
          <w:lang w:val="en-US" w:eastAsia="zh-CN"/>
        </w:rPr>
      </w:pPr>
      <w:r>
        <w:rPr>
          <w:rFonts w:hint="eastAsia" w:eastAsia="黑体"/>
          <w:color w:val="auto"/>
          <w:sz w:val="32"/>
          <w:szCs w:val="32"/>
          <w:lang w:val="en-US" w:eastAsia="zh-CN"/>
        </w:rPr>
        <w:t>一、甜蜜素</w:t>
      </w:r>
    </w:p>
    <w:p w14:paraId="4D3DB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64" w:firstLineChars="200"/>
        <w:textAlignment w:val="auto"/>
        <w:rPr>
          <w:rFonts w:hint="default" w:ascii="仿宋_GB2312" w:hAnsi="Microsoft YaHei UI" w:eastAsia="仿宋_GB2312" w:cs="宋体"/>
          <w:color w:val="333333"/>
          <w:spacing w:val="6"/>
          <w:kern w:val="0"/>
          <w:sz w:val="32"/>
          <w:szCs w:val="32"/>
          <w:lang w:val="en-US" w:eastAsia="zh-CN" w:bidi="ar-SA"/>
        </w:rPr>
      </w:pPr>
      <w:r>
        <w:rPr>
          <w:rFonts w:hint="default" w:ascii="仿宋_GB2312" w:hAnsi="Microsoft YaHei UI" w:eastAsia="仿宋_GB2312" w:cs="宋体"/>
          <w:color w:val="333333"/>
          <w:spacing w:val="6"/>
          <w:kern w:val="0"/>
          <w:sz w:val="32"/>
          <w:szCs w:val="32"/>
          <w:lang w:val="en-US" w:eastAsia="zh-CN" w:bidi="ar-SA"/>
        </w:rPr>
        <w:t>甜蜜素是一种无营养甜味剂，常用于酱菜类、调味汁、糕点、配制酒和饮料等食品中。如果经常食用甜蜜素含量超标的食品，就会因摄入过量对人体的肝脏和神经系统造成危害，特别是对代谢排毒的能力较弱的老人、孕妇、小孩危害更明显。《食品安全国家标准 食品添加剂使用标准》（GB 2760</w:t>
      </w:r>
      <w:r>
        <w:rPr>
          <w:rFonts w:hint="eastAsia" w:ascii="仿宋_GB2312" w:hAnsi="Microsoft YaHei UI" w:eastAsia="仿宋_GB2312" w:cs="宋体"/>
          <w:color w:val="333333"/>
          <w:spacing w:val="6"/>
          <w:kern w:val="0"/>
          <w:sz w:val="32"/>
          <w:szCs w:val="32"/>
          <w:lang w:val="en-US" w:eastAsia="zh-CN" w:bidi="ar-SA"/>
        </w:rPr>
        <w:t>-</w:t>
      </w:r>
      <w:r>
        <w:rPr>
          <w:rFonts w:hint="default" w:ascii="仿宋_GB2312" w:hAnsi="Microsoft YaHei UI" w:eastAsia="仿宋_GB2312" w:cs="宋体"/>
          <w:color w:val="333333"/>
          <w:spacing w:val="6"/>
          <w:kern w:val="0"/>
          <w:sz w:val="32"/>
          <w:szCs w:val="32"/>
          <w:lang w:val="en-US" w:eastAsia="zh-CN" w:bidi="ar-SA"/>
        </w:rPr>
        <w:t>20</w:t>
      </w:r>
      <w:r>
        <w:rPr>
          <w:rFonts w:hint="eastAsia" w:ascii="仿宋_GB2312" w:hAnsi="Microsoft YaHei UI" w:eastAsia="仿宋_GB2312" w:cs="宋体"/>
          <w:color w:val="333333"/>
          <w:spacing w:val="6"/>
          <w:kern w:val="0"/>
          <w:sz w:val="32"/>
          <w:szCs w:val="32"/>
          <w:lang w:val="en-US" w:eastAsia="zh-CN" w:bidi="ar-SA"/>
        </w:rPr>
        <w:t>2</w:t>
      </w:r>
      <w:r>
        <w:rPr>
          <w:rFonts w:hint="default" w:ascii="仿宋_GB2312" w:hAnsi="Microsoft YaHei UI" w:eastAsia="仿宋_GB2312" w:cs="宋体"/>
          <w:color w:val="333333"/>
          <w:spacing w:val="6"/>
          <w:kern w:val="0"/>
          <w:sz w:val="32"/>
          <w:szCs w:val="32"/>
          <w:lang w:val="en-US" w:eastAsia="zh-CN" w:bidi="ar-SA"/>
        </w:rPr>
        <w:t>4）中规定，</w:t>
      </w:r>
      <w:r>
        <w:rPr>
          <w:rFonts w:hint="eastAsia" w:ascii="仿宋_GB2312" w:hAnsi="Microsoft YaHei UI" w:eastAsia="仿宋_GB2312" w:cs="宋体"/>
          <w:color w:val="333333"/>
          <w:spacing w:val="6"/>
          <w:kern w:val="0"/>
          <w:sz w:val="32"/>
          <w:szCs w:val="32"/>
          <w:lang w:val="en-US" w:eastAsia="zh-CN" w:bidi="ar-SA"/>
        </w:rPr>
        <w:t>桑葚</w:t>
      </w:r>
      <w:r>
        <w:rPr>
          <w:rFonts w:hint="default" w:ascii="仿宋_GB2312" w:hAnsi="Microsoft YaHei UI" w:eastAsia="仿宋_GB2312" w:cs="宋体"/>
          <w:color w:val="333333"/>
          <w:spacing w:val="6"/>
          <w:kern w:val="0"/>
          <w:sz w:val="32"/>
          <w:szCs w:val="32"/>
          <w:lang w:val="en-US" w:eastAsia="zh-CN" w:bidi="ar-SA"/>
        </w:rPr>
        <w:t>中</w:t>
      </w:r>
      <w:r>
        <w:rPr>
          <w:rFonts w:hint="eastAsia" w:ascii="仿宋_GB2312" w:hAnsi="Microsoft YaHei UI" w:eastAsia="仿宋_GB2312" w:cs="宋体"/>
          <w:color w:val="333333"/>
          <w:spacing w:val="6"/>
          <w:kern w:val="0"/>
          <w:sz w:val="32"/>
          <w:szCs w:val="32"/>
          <w:lang w:val="en-US" w:eastAsia="zh-CN" w:bidi="ar-SA"/>
        </w:rPr>
        <w:t>不允许使用甜蜜素</w:t>
      </w:r>
      <w:r>
        <w:rPr>
          <w:rFonts w:hint="default" w:ascii="仿宋_GB2312" w:hAnsi="Microsoft YaHei UI" w:eastAsia="仿宋_GB2312" w:cs="宋体"/>
          <w:color w:val="333333"/>
          <w:spacing w:val="6"/>
          <w:kern w:val="0"/>
          <w:sz w:val="32"/>
          <w:szCs w:val="32"/>
          <w:lang w:val="en-US" w:eastAsia="zh-CN" w:bidi="ar-SA"/>
        </w:rPr>
        <w:t>。</w:t>
      </w:r>
      <w:r>
        <w:rPr>
          <w:rFonts w:hint="eastAsia" w:ascii="仿宋_GB2312" w:hAnsi="Microsoft YaHei UI" w:eastAsia="仿宋_GB2312" w:cs="宋体"/>
          <w:color w:val="333333"/>
          <w:spacing w:val="6"/>
          <w:kern w:val="0"/>
          <w:sz w:val="32"/>
          <w:szCs w:val="32"/>
          <w:lang w:val="en-US" w:eastAsia="zh-CN" w:bidi="ar-SA"/>
        </w:rPr>
        <w:t>桑葚</w:t>
      </w:r>
      <w:r>
        <w:rPr>
          <w:rFonts w:hint="default" w:ascii="仿宋_GB2312" w:hAnsi="Microsoft YaHei UI" w:eastAsia="仿宋_GB2312" w:cs="宋体"/>
          <w:color w:val="333333"/>
          <w:spacing w:val="6"/>
          <w:kern w:val="0"/>
          <w:sz w:val="32"/>
          <w:szCs w:val="32"/>
          <w:lang w:val="en-US" w:eastAsia="zh-CN" w:bidi="ar-SA"/>
        </w:rPr>
        <w:t>中</w:t>
      </w:r>
      <w:r>
        <w:rPr>
          <w:rFonts w:hint="eastAsia" w:ascii="仿宋_GB2312" w:hAnsi="Microsoft YaHei UI" w:eastAsia="仿宋_GB2312" w:cs="宋体"/>
          <w:color w:val="333333"/>
          <w:spacing w:val="6"/>
          <w:kern w:val="0"/>
          <w:sz w:val="32"/>
          <w:szCs w:val="32"/>
          <w:lang w:val="en-US" w:eastAsia="zh-CN" w:bidi="ar-SA"/>
        </w:rPr>
        <w:t>甜蜜素(以环己基氨基磺酸计)</w:t>
      </w:r>
      <w:r>
        <w:rPr>
          <w:rFonts w:hint="default" w:ascii="仿宋_GB2312" w:hAnsi="Microsoft YaHei UI" w:eastAsia="仿宋_GB2312" w:cs="宋体"/>
          <w:color w:val="333333"/>
          <w:spacing w:val="6"/>
          <w:kern w:val="0"/>
          <w:sz w:val="32"/>
          <w:szCs w:val="32"/>
          <w:lang w:val="en-US" w:eastAsia="zh-CN" w:bidi="ar-SA"/>
        </w:rPr>
        <w:t>检测值超标的原因，可能是生产过程中计量不准导致终产品</w:t>
      </w:r>
      <w:r>
        <w:rPr>
          <w:rFonts w:hint="eastAsia" w:ascii="仿宋_GB2312" w:hAnsi="Microsoft YaHei UI" w:eastAsia="仿宋_GB2312" w:cs="宋体"/>
          <w:color w:val="333333"/>
          <w:spacing w:val="6"/>
          <w:kern w:val="0"/>
          <w:sz w:val="32"/>
          <w:szCs w:val="32"/>
          <w:lang w:val="en-US" w:eastAsia="zh-CN" w:bidi="ar-SA"/>
        </w:rPr>
        <w:t>甜蜜素(以环己基氨基磺酸计)</w:t>
      </w:r>
      <w:r>
        <w:rPr>
          <w:rFonts w:hint="default" w:ascii="仿宋_GB2312" w:hAnsi="Microsoft YaHei UI" w:eastAsia="仿宋_GB2312" w:cs="宋体"/>
          <w:color w:val="333333"/>
          <w:spacing w:val="6"/>
          <w:kern w:val="0"/>
          <w:sz w:val="32"/>
          <w:szCs w:val="32"/>
          <w:lang w:val="en-US" w:eastAsia="zh-CN" w:bidi="ar-SA"/>
        </w:rPr>
        <w:t>超标，也可能是生产企业为增加甜度而过量添加。</w:t>
      </w:r>
    </w:p>
    <w:p w14:paraId="7F388D0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640" w:firstLineChars="200"/>
        <w:textAlignment w:val="auto"/>
        <w:rPr>
          <w:rFonts w:hint="eastAsia" w:eastAsia="黑体"/>
          <w:color w:val="auto"/>
          <w:sz w:val="32"/>
          <w:szCs w:val="32"/>
          <w:lang w:val="en-US" w:eastAsia="zh-CN"/>
        </w:rPr>
      </w:pPr>
      <w:r>
        <w:rPr>
          <w:rFonts w:hint="eastAsia" w:eastAsia="黑体" w:cs="Times New Roman"/>
          <w:color w:val="auto"/>
          <w:kern w:val="0"/>
          <w:sz w:val="32"/>
          <w:szCs w:val="32"/>
          <w:lang w:val="en-US" w:eastAsia="zh-CN" w:bidi="ar"/>
        </w:rPr>
        <w:t>二</w:t>
      </w:r>
      <w:r>
        <w:rPr>
          <w:rFonts w:hint="eastAsia" w:ascii="Times New Roman" w:hAnsi="Times New Roman" w:eastAsia="黑体" w:cs="Times New Roman"/>
          <w:color w:val="auto"/>
          <w:kern w:val="0"/>
          <w:sz w:val="32"/>
          <w:szCs w:val="32"/>
          <w:lang w:val="en-US" w:eastAsia="zh-CN" w:bidi="ar"/>
        </w:rPr>
        <w:t>、</w:t>
      </w:r>
      <w:r>
        <w:rPr>
          <w:rFonts w:hint="eastAsia" w:eastAsia="黑体"/>
          <w:color w:val="auto"/>
          <w:sz w:val="32"/>
          <w:szCs w:val="32"/>
          <w:lang w:val="en-US" w:eastAsia="zh-CN"/>
        </w:rPr>
        <w:t>糖精钠</w:t>
      </w:r>
    </w:p>
    <w:p w14:paraId="332CA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64" w:firstLineChars="200"/>
        <w:textAlignment w:val="auto"/>
        <w:rPr>
          <w:rFonts w:hint="default" w:ascii="仿宋_GB2312" w:hAnsi="Microsoft YaHei UI" w:eastAsia="仿宋_GB2312" w:cs="宋体"/>
          <w:color w:val="333333"/>
          <w:spacing w:val="6"/>
          <w:kern w:val="0"/>
          <w:sz w:val="32"/>
          <w:szCs w:val="32"/>
          <w:lang w:val="en-US" w:eastAsia="zh-CN" w:bidi="ar-SA"/>
        </w:rPr>
      </w:pPr>
      <w:bookmarkStart w:id="0" w:name="_Hlk86851958"/>
      <w:r>
        <w:rPr>
          <w:rFonts w:hint="default" w:ascii="仿宋_GB2312" w:hAnsi="Microsoft YaHei UI" w:eastAsia="仿宋_GB2312" w:cs="宋体"/>
          <w:color w:val="333333"/>
          <w:spacing w:val="6"/>
          <w:kern w:val="0"/>
          <w:sz w:val="32"/>
          <w:szCs w:val="32"/>
          <w:lang w:val="en-US" w:eastAsia="zh-CN" w:bidi="ar-SA"/>
        </w:rPr>
        <w:t>糖精钠是普遍使用的人工合成甜味剂，在人体内不被吸收，不产生热量，大部分经肾排出而不损害肾功能。但如果长期摄入糖精钠超标的食品，可能会影响肠胃消化酶的正常分泌，降低小肠的吸收能力，使食欲减退。《食品安全国家标准 食品添加剂使用标准》（GB 2760</w:t>
      </w:r>
      <w:r>
        <w:rPr>
          <w:rFonts w:hint="eastAsia" w:ascii="仿宋_GB2312" w:hAnsi="Microsoft YaHei UI" w:eastAsia="仿宋_GB2312" w:cs="宋体"/>
          <w:color w:val="333333"/>
          <w:spacing w:val="6"/>
          <w:kern w:val="0"/>
          <w:sz w:val="32"/>
          <w:szCs w:val="32"/>
          <w:lang w:val="en-US" w:eastAsia="zh-CN" w:bidi="ar-SA"/>
        </w:rPr>
        <w:t>-</w:t>
      </w:r>
      <w:r>
        <w:rPr>
          <w:rFonts w:hint="default" w:ascii="仿宋_GB2312" w:hAnsi="Microsoft YaHei UI" w:eastAsia="仿宋_GB2312" w:cs="宋体"/>
          <w:color w:val="333333"/>
          <w:spacing w:val="6"/>
          <w:kern w:val="0"/>
          <w:sz w:val="32"/>
          <w:szCs w:val="32"/>
          <w:lang w:val="en-US" w:eastAsia="zh-CN" w:bidi="ar-SA"/>
        </w:rPr>
        <w:t>20</w:t>
      </w:r>
      <w:r>
        <w:rPr>
          <w:rFonts w:hint="eastAsia" w:ascii="仿宋_GB2312" w:hAnsi="Microsoft YaHei UI" w:eastAsia="仿宋_GB2312" w:cs="宋体"/>
          <w:color w:val="333333"/>
          <w:spacing w:val="6"/>
          <w:kern w:val="0"/>
          <w:sz w:val="32"/>
          <w:szCs w:val="32"/>
          <w:lang w:val="en-US" w:eastAsia="zh-CN" w:bidi="ar-SA"/>
        </w:rPr>
        <w:t>2</w:t>
      </w:r>
      <w:r>
        <w:rPr>
          <w:rFonts w:hint="default" w:ascii="仿宋_GB2312" w:hAnsi="Microsoft YaHei UI" w:eastAsia="仿宋_GB2312" w:cs="宋体"/>
          <w:color w:val="333333"/>
          <w:spacing w:val="6"/>
          <w:kern w:val="0"/>
          <w:sz w:val="32"/>
          <w:szCs w:val="32"/>
          <w:lang w:val="en-US" w:eastAsia="zh-CN" w:bidi="ar-SA"/>
        </w:rPr>
        <w:t>4）中规定，</w:t>
      </w:r>
      <w:r>
        <w:rPr>
          <w:rFonts w:hint="eastAsia" w:ascii="仿宋_GB2312" w:hAnsi="Microsoft YaHei UI" w:eastAsia="仿宋_GB2312" w:cs="宋体"/>
          <w:color w:val="333333"/>
          <w:spacing w:val="6"/>
          <w:kern w:val="0"/>
          <w:sz w:val="32"/>
          <w:szCs w:val="32"/>
          <w:lang w:val="en-US" w:eastAsia="zh-CN" w:bidi="ar-SA"/>
        </w:rPr>
        <w:t>桑葚</w:t>
      </w:r>
      <w:r>
        <w:rPr>
          <w:rFonts w:hint="default" w:ascii="仿宋_GB2312" w:hAnsi="Microsoft YaHei UI" w:eastAsia="仿宋_GB2312" w:cs="宋体"/>
          <w:color w:val="333333"/>
          <w:spacing w:val="6"/>
          <w:kern w:val="0"/>
          <w:sz w:val="32"/>
          <w:szCs w:val="32"/>
          <w:lang w:val="en-US" w:eastAsia="zh-CN" w:bidi="ar-SA"/>
        </w:rPr>
        <w:t>中中不允许使用糖精钠。</w:t>
      </w:r>
      <w:r>
        <w:rPr>
          <w:rFonts w:hint="eastAsia" w:ascii="仿宋_GB2312" w:hAnsi="Microsoft YaHei UI" w:eastAsia="仿宋_GB2312" w:cs="宋体"/>
          <w:color w:val="333333"/>
          <w:spacing w:val="6"/>
          <w:kern w:val="0"/>
          <w:sz w:val="32"/>
          <w:szCs w:val="32"/>
          <w:lang w:val="en-US" w:eastAsia="zh-CN" w:bidi="ar-SA"/>
        </w:rPr>
        <w:t>桑葚</w:t>
      </w:r>
      <w:r>
        <w:rPr>
          <w:rFonts w:hint="default" w:ascii="仿宋_GB2312" w:hAnsi="Microsoft YaHei UI" w:eastAsia="仿宋_GB2312" w:cs="宋体"/>
          <w:color w:val="333333"/>
          <w:spacing w:val="6"/>
          <w:kern w:val="0"/>
          <w:sz w:val="32"/>
          <w:szCs w:val="32"/>
          <w:lang w:val="en-US" w:eastAsia="zh-CN" w:bidi="ar-SA"/>
        </w:rPr>
        <w:t>中糖精钠（以糖精计）检测值超标的原因，可能是生产过程中计量不准导致终产品糖精钠（以糖精计）超标，也可能是生产企业为增加甜度而过量添加。</w:t>
      </w:r>
    </w:p>
    <w:bookmarkEnd w:id="0"/>
    <w:p w14:paraId="278868E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Chars="200" w:right="0" w:rightChars="0"/>
        <w:textAlignment w:val="auto"/>
        <w:rPr>
          <w:rFonts w:hint="eastAsia" w:eastAsia="黑体"/>
          <w:color w:val="auto"/>
          <w:sz w:val="32"/>
          <w:szCs w:val="32"/>
          <w:lang w:val="en-US" w:eastAsia="zh-CN"/>
        </w:rPr>
      </w:pPr>
      <w:r>
        <w:rPr>
          <w:rFonts w:hint="eastAsia" w:eastAsia="黑体"/>
          <w:color w:val="auto"/>
          <w:sz w:val="32"/>
          <w:szCs w:val="32"/>
          <w:lang w:val="en-US" w:eastAsia="zh-CN"/>
        </w:rPr>
        <w:t>三、脱氢乙酸及其钠盐（以脱氢乙酸计）</w:t>
      </w:r>
    </w:p>
    <w:p w14:paraId="0F2EC2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64" w:firstLineChars="200"/>
        <w:textAlignment w:val="auto"/>
        <w:rPr>
          <w:rFonts w:hint="eastAsia" w:ascii="仿宋_GB2312" w:hAnsi="Microsoft YaHei UI" w:eastAsia="仿宋_GB2312" w:cs="宋体"/>
          <w:color w:val="333333"/>
          <w:spacing w:val="6"/>
          <w:kern w:val="0"/>
          <w:sz w:val="32"/>
          <w:szCs w:val="32"/>
          <w:lang w:val="en-US" w:eastAsia="zh-CN" w:bidi="ar-SA"/>
        </w:rPr>
      </w:pPr>
      <w:r>
        <w:rPr>
          <w:rFonts w:hint="eastAsia" w:ascii="仿宋_GB2312" w:hAnsi="Microsoft YaHei UI" w:eastAsia="仿宋_GB2312" w:cs="宋体"/>
          <w:color w:val="333333"/>
          <w:spacing w:val="6"/>
          <w:kern w:val="0"/>
          <w:sz w:val="32"/>
          <w:szCs w:val="32"/>
          <w:lang w:val="en-US" w:eastAsia="zh-CN" w:bidi="ar-SA"/>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2760-2024）中规定，桑葚中不允许使用脱氢乙酸及其钠盐。桑葚中检出脱氢乙酸及其钠盐（以脱氢乙酸计）的原因，可能是个别企业为防止食品腐败变质，超范围使用了该添加剂。</w:t>
      </w:r>
    </w:p>
    <w:p w14:paraId="053BA37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Chars="200" w:right="0" w:rightChars="0"/>
        <w:textAlignment w:val="auto"/>
        <w:rPr>
          <w:rFonts w:hint="eastAsia" w:eastAsia="黑体"/>
          <w:color w:val="auto"/>
          <w:sz w:val="32"/>
          <w:szCs w:val="32"/>
          <w:lang w:val="en-US" w:eastAsia="zh-CN"/>
        </w:rPr>
      </w:pPr>
      <w:r>
        <w:rPr>
          <w:rFonts w:hint="eastAsia" w:eastAsia="黑体"/>
          <w:color w:val="auto"/>
          <w:sz w:val="32"/>
          <w:szCs w:val="32"/>
          <w:lang w:val="en-US" w:eastAsia="zh-CN"/>
        </w:rPr>
        <w:t>四、噻虫胺</w:t>
      </w:r>
    </w:p>
    <w:p w14:paraId="09A8A7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64" w:firstLineChars="200"/>
        <w:textAlignment w:val="auto"/>
        <w:rPr>
          <w:rFonts w:hint="eastAsia" w:ascii="仿宋_GB2312" w:hAnsi="Microsoft YaHei UI" w:eastAsia="仿宋_GB2312" w:cs="宋体"/>
          <w:color w:val="333333"/>
          <w:spacing w:val="6"/>
          <w:kern w:val="0"/>
          <w:sz w:val="32"/>
          <w:szCs w:val="32"/>
          <w:lang w:val="en-US" w:eastAsia="zh-CN" w:bidi="ar-SA"/>
        </w:rPr>
      </w:pPr>
      <w:r>
        <w:rPr>
          <w:rFonts w:hint="eastAsia" w:ascii="仿宋_GB2312" w:hAnsi="Microsoft YaHei UI" w:eastAsia="仿宋_GB2312" w:cs="宋体"/>
          <w:color w:val="333333"/>
          <w:spacing w:val="6"/>
          <w:kern w:val="0"/>
          <w:sz w:val="32"/>
          <w:szCs w:val="32"/>
          <w:lang w:val="en-US" w:eastAsia="zh-CN" w:bidi="ar-SA"/>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2763-2021）中规定，噻虫胺在茄果类蔬菜中的最大残留限量值为0.05mg/kg。尖椒中噻虫胺残留量超标的原因，可能是为快速控制虫害，加大用药量或未遵守采摘间隔期规定，致使上市销售的产品中残留量超标。</w:t>
      </w:r>
    </w:p>
    <w:p w14:paraId="1018585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Chars="200" w:right="0" w:rightChars="0"/>
        <w:textAlignment w:val="auto"/>
        <w:rPr>
          <w:rFonts w:hint="eastAsia" w:eastAsia="黑体"/>
          <w:color w:val="auto"/>
          <w:sz w:val="32"/>
          <w:szCs w:val="32"/>
          <w:lang w:val="en-US" w:eastAsia="zh-CN"/>
        </w:rPr>
      </w:pPr>
      <w:r>
        <w:rPr>
          <w:rFonts w:hint="eastAsia" w:eastAsia="黑体"/>
          <w:color w:val="auto"/>
          <w:sz w:val="32"/>
          <w:szCs w:val="32"/>
          <w:lang w:val="en-US" w:eastAsia="zh-CN"/>
        </w:rPr>
        <w:t>五、吡虫啉</w:t>
      </w:r>
    </w:p>
    <w:p w14:paraId="2EAEA3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64" w:firstLineChars="200"/>
        <w:textAlignment w:val="auto"/>
        <w:rPr>
          <w:rFonts w:hint="eastAsia" w:ascii="仿宋_GB2312" w:hAnsi="Microsoft YaHei UI" w:eastAsia="仿宋_GB2312" w:cs="宋体"/>
          <w:color w:val="333333"/>
          <w:spacing w:val="6"/>
          <w:kern w:val="0"/>
          <w:sz w:val="32"/>
          <w:szCs w:val="32"/>
          <w:lang w:val="en-US" w:eastAsia="zh-CN" w:bidi="ar-SA"/>
        </w:rPr>
      </w:pPr>
      <w:r>
        <w:rPr>
          <w:rFonts w:hint="eastAsia" w:ascii="仿宋_GB2312" w:hAnsi="Microsoft YaHei UI" w:eastAsia="仿宋_GB2312" w:cs="宋体"/>
          <w:color w:val="333333"/>
          <w:spacing w:val="6"/>
          <w:kern w:val="0"/>
          <w:sz w:val="32"/>
          <w:szCs w:val="32"/>
          <w:lang w:val="en-US" w:eastAsia="zh-CN" w:bidi="ar-SA"/>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食品中农药最大残留限量》（GB 2763-2021）中规定，香蕉中的最大残留限量为0．05mg／kg。不慎食用和长期过量食用吡虫啉超标的食物对人体有害。香蕉中吡虫啉超标的原因可能是由于种植户未严格按照农业使用安全间隔期进行采摘所致。</w:t>
      </w:r>
    </w:p>
    <w:p w14:paraId="401B21B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Chars="200" w:right="0" w:rightChars="0"/>
        <w:textAlignment w:val="auto"/>
        <w:rPr>
          <w:rFonts w:hint="eastAsia" w:eastAsia="黑体"/>
          <w:color w:val="auto"/>
          <w:sz w:val="32"/>
          <w:szCs w:val="32"/>
          <w:lang w:val="en-US" w:eastAsia="zh-CN"/>
        </w:rPr>
      </w:pPr>
      <w:r>
        <w:rPr>
          <w:rFonts w:hint="eastAsia" w:eastAsia="黑体"/>
          <w:color w:val="auto"/>
          <w:sz w:val="32"/>
          <w:szCs w:val="32"/>
          <w:lang w:val="en-US" w:eastAsia="zh-CN"/>
        </w:rPr>
        <w:t>六、4-氯苯氧乙酸钠（以4-氯苯氧乙酸计）</w:t>
      </w:r>
    </w:p>
    <w:p w14:paraId="25854B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64" w:firstLineChars="200"/>
        <w:textAlignment w:val="auto"/>
        <w:rPr>
          <w:rFonts w:hint="eastAsia" w:ascii="仿宋_GB2312" w:hAnsi="Microsoft YaHei UI" w:eastAsia="仿宋_GB2312" w:cs="宋体"/>
          <w:color w:val="333333"/>
          <w:spacing w:val="6"/>
          <w:kern w:val="0"/>
          <w:sz w:val="32"/>
          <w:szCs w:val="32"/>
          <w:lang w:val="en-US" w:eastAsia="zh-CN" w:bidi="ar-SA"/>
        </w:rPr>
      </w:pPr>
      <w:bookmarkStart w:id="1" w:name="_Hlk88308894"/>
      <w:r>
        <w:rPr>
          <w:rFonts w:hint="eastAsia" w:ascii="仿宋_GB2312" w:hAnsi="Microsoft YaHei UI" w:eastAsia="仿宋_GB2312" w:cs="宋体"/>
          <w:color w:val="333333"/>
          <w:spacing w:val="6"/>
          <w:kern w:val="0"/>
          <w:sz w:val="32"/>
          <w:szCs w:val="32"/>
          <w:lang w:val="en-US" w:eastAsia="zh-CN" w:bidi="ar-SA"/>
        </w:rPr>
        <w:t>4-氯苯氧乙酸钠、6-苄基腺嘌呤是植物生长调节剂类农药，可以促进植物体内的生物合成和生物转移，不仅可防止落花落果、提高做果率、增进果实生长速度、促进提前成熟，还能达到改善植物品质之目的。《国家食品药品监督管理总局、农业部、国家卫生和计划生育委员会关于豆芽生产过程中禁止使用6-苄基腺嘌呤等物质的公告》（2015年第11号）中规定，豆芽生产经营中禁止使用6-苄基腺嘌呤、4-氯苯氧乙酸钠、赤霉素等物质。由于4-氯苯氧乙酸钠、6-苄基腺嘌呤可减少</w:t>
      </w:r>
      <w:bookmarkStart w:id="2" w:name="_GoBack"/>
      <w:bookmarkEnd w:id="2"/>
      <w:r>
        <w:rPr>
          <w:rFonts w:hint="eastAsia" w:ascii="仿宋_GB2312" w:hAnsi="Microsoft YaHei UI" w:eastAsia="仿宋_GB2312" w:cs="宋体"/>
          <w:color w:val="333333"/>
          <w:spacing w:val="6"/>
          <w:kern w:val="0"/>
          <w:sz w:val="32"/>
          <w:szCs w:val="32"/>
          <w:lang w:val="en-US" w:eastAsia="zh-CN" w:bidi="ar-SA"/>
        </w:rPr>
        <w:t>豆芽根部萌发，加速细胞分裂，使豆芽更加肥嫩、粗壮，提高豆芽的产量，仍有违规使用现象。</w:t>
      </w:r>
    </w:p>
    <w:bookmarkEnd w:id="1"/>
    <w:p w14:paraId="25679D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664" w:firstLineChars="200"/>
        <w:textAlignment w:val="auto"/>
        <w:rPr>
          <w:rFonts w:hint="default" w:ascii="仿宋_GB2312" w:hAnsi="Microsoft YaHei UI" w:eastAsia="仿宋_GB2312" w:cs="宋体"/>
          <w:color w:val="333333"/>
          <w:spacing w:val="6"/>
          <w:kern w:val="0"/>
          <w:sz w:val="32"/>
          <w:szCs w:val="32"/>
          <w:lang w:val="en-US" w:eastAsia="zh-CN" w:bidi="ar-SA"/>
        </w:rPr>
      </w:pPr>
    </w:p>
    <w:p w14:paraId="666325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Chars="200" w:right="0" w:rightChars="0"/>
        <w:textAlignment w:val="auto"/>
        <w:rPr>
          <w:rFonts w:hint="default" w:eastAsia="黑体"/>
          <w:color w:val="auto"/>
          <w:sz w:val="32"/>
          <w:szCs w:val="32"/>
          <w:lang w:val="en-US" w:eastAsia="zh-CN"/>
        </w:rPr>
      </w:pPr>
    </w:p>
    <w:p w14:paraId="5A7D4318">
      <w:pPr>
        <w:widowControl/>
        <w:shd w:val="clear" w:color="auto" w:fill="FFFFFF"/>
        <w:spacing w:line="284" w:lineRule="atLeast"/>
        <w:ind w:firstLine="664" w:firstLineChars="200"/>
        <w:rPr>
          <w:rFonts w:hint="eastAsia" w:ascii="仿宋_GB2312" w:hAnsi="Microsoft YaHei UI" w:eastAsia="仿宋_GB2312" w:cs="宋体"/>
          <w:color w:val="333333"/>
          <w:spacing w:val="6"/>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B1365"/>
    <w:multiLevelType w:val="multilevel"/>
    <w:tmpl w:val="275B1365"/>
    <w:lvl w:ilvl="0" w:tentative="0">
      <w:start w:val="1"/>
      <w:numFmt w:val="decimal"/>
      <w:suff w:val="space"/>
      <w:lvlText w:val="%1"/>
      <w:lvlJc w:val="left"/>
      <w:pPr>
        <w:ind w:left="5812" w:hanging="425"/>
      </w:pPr>
      <w:rPr>
        <w:rFonts w:hint="eastAsia"/>
        <w:color w:val="auto"/>
        <w:sz w:val="32"/>
        <w:szCs w:val="32"/>
      </w:rPr>
    </w:lvl>
    <w:lvl w:ilvl="1" w:tentative="0">
      <w:start w:val="1"/>
      <w:numFmt w:val="decimal"/>
      <w:pStyle w:val="9"/>
      <w:suff w:val="space"/>
      <w:lvlText w:val="%1.%2"/>
      <w:lvlJc w:val="left"/>
      <w:pPr>
        <w:ind w:left="709" w:hanging="567"/>
      </w:pPr>
      <w:rPr>
        <w:b/>
        <w:bCs w:val="0"/>
        <w:i w:val="0"/>
        <w:iCs w:val="0"/>
        <w:caps w:val="0"/>
        <w:smallCaps w:val="0"/>
        <w:strike w:val="0"/>
        <w:dstrike w:val="0"/>
        <w:vanish w:val="0"/>
        <w:spacing w:val="0"/>
        <w:position w:val="0"/>
        <w:sz w:val="30"/>
        <w:szCs w:val="3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1"/>
      <w:suff w:val="space"/>
      <w:lvlText w:val="%1.%2.%3"/>
      <w:lvlJc w:val="left"/>
      <w:pPr>
        <w:ind w:left="2268" w:hanging="1701"/>
      </w:pPr>
      <w:rPr>
        <w:rFonts w:hint="default" w:ascii="Times New Roman" w:hAnsi="Times New Roman" w:cs="Times New Roman"/>
        <w:b/>
        <w:bCs/>
        <w:i w:val="0"/>
        <w:iCs w:val="0"/>
        <w:caps w:val="0"/>
        <w:smallCaps w:val="0"/>
        <w:strike w:val="0"/>
        <w:dstrike w:val="0"/>
        <w:vanish w:val="0"/>
        <w:color w:val="auto"/>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1247" w:hanging="397"/>
      </w:pPr>
      <w:rPr>
        <w:rFonts w:hint="eastAsia" w:ascii="Times New Roman" w:hAnsi="Times New Roman" w:cs="Times New Roman"/>
        <w:b/>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GE5ZjYwZWI3NjIwMjQxNGNmMWExYmZmZTdkZmYifQ=="/>
    <w:docVar w:name="KSO_WPS_MARK_KEY" w:val="cf789c8f-b383-4d35-9ffb-e505c3268617"/>
  </w:docVars>
  <w:rsids>
    <w:rsidRoot w:val="00000000"/>
    <w:rsid w:val="004A0410"/>
    <w:rsid w:val="01243ADB"/>
    <w:rsid w:val="01D35AF0"/>
    <w:rsid w:val="02685C0C"/>
    <w:rsid w:val="02962021"/>
    <w:rsid w:val="041B0A5C"/>
    <w:rsid w:val="04E11CA6"/>
    <w:rsid w:val="0511706A"/>
    <w:rsid w:val="051C683A"/>
    <w:rsid w:val="0553166D"/>
    <w:rsid w:val="064C75F3"/>
    <w:rsid w:val="07577FFE"/>
    <w:rsid w:val="07AF388B"/>
    <w:rsid w:val="07AF6C01"/>
    <w:rsid w:val="09EB7896"/>
    <w:rsid w:val="0A502407"/>
    <w:rsid w:val="0A686706"/>
    <w:rsid w:val="0BDC31C7"/>
    <w:rsid w:val="0C452B1A"/>
    <w:rsid w:val="0C470926"/>
    <w:rsid w:val="0C79740B"/>
    <w:rsid w:val="0D4508F8"/>
    <w:rsid w:val="0E4F1993"/>
    <w:rsid w:val="0F182768"/>
    <w:rsid w:val="111351D6"/>
    <w:rsid w:val="12771554"/>
    <w:rsid w:val="12F65C8A"/>
    <w:rsid w:val="144933C4"/>
    <w:rsid w:val="15216A63"/>
    <w:rsid w:val="17AF791F"/>
    <w:rsid w:val="1841462C"/>
    <w:rsid w:val="19396B1B"/>
    <w:rsid w:val="1C0A3439"/>
    <w:rsid w:val="1CB05AB4"/>
    <w:rsid w:val="1D6C7E17"/>
    <w:rsid w:val="1D7B287B"/>
    <w:rsid w:val="1E0D0FBE"/>
    <w:rsid w:val="1EB3600A"/>
    <w:rsid w:val="1EFD5B70"/>
    <w:rsid w:val="1F205A8A"/>
    <w:rsid w:val="1FF521D2"/>
    <w:rsid w:val="210E2811"/>
    <w:rsid w:val="219519F6"/>
    <w:rsid w:val="227F510E"/>
    <w:rsid w:val="231F5A1C"/>
    <w:rsid w:val="24A02F9B"/>
    <w:rsid w:val="25113A8A"/>
    <w:rsid w:val="25ED0053"/>
    <w:rsid w:val="27206206"/>
    <w:rsid w:val="27BC431A"/>
    <w:rsid w:val="28BC3D0D"/>
    <w:rsid w:val="29123C49"/>
    <w:rsid w:val="2A720B27"/>
    <w:rsid w:val="2B0820F1"/>
    <w:rsid w:val="2BAB7764"/>
    <w:rsid w:val="2BFA75BD"/>
    <w:rsid w:val="2D2A5B13"/>
    <w:rsid w:val="2D940DB4"/>
    <w:rsid w:val="2E312CC6"/>
    <w:rsid w:val="2E547418"/>
    <w:rsid w:val="2F746FD4"/>
    <w:rsid w:val="33A20EF9"/>
    <w:rsid w:val="36AC109C"/>
    <w:rsid w:val="3801798E"/>
    <w:rsid w:val="380C4C33"/>
    <w:rsid w:val="392A6928"/>
    <w:rsid w:val="3AB94550"/>
    <w:rsid w:val="3ADC3D9A"/>
    <w:rsid w:val="3B0E03F8"/>
    <w:rsid w:val="3B201ED9"/>
    <w:rsid w:val="3B4D6651"/>
    <w:rsid w:val="3BAF131E"/>
    <w:rsid w:val="3BFE660C"/>
    <w:rsid w:val="3CCC056A"/>
    <w:rsid w:val="3CFB538C"/>
    <w:rsid w:val="3DF87C5F"/>
    <w:rsid w:val="3F2A1972"/>
    <w:rsid w:val="3FC27A03"/>
    <w:rsid w:val="3FD00141"/>
    <w:rsid w:val="4050500F"/>
    <w:rsid w:val="408A2F44"/>
    <w:rsid w:val="409078A1"/>
    <w:rsid w:val="42674891"/>
    <w:rsid w:val="435C016E"/>
    <w:rsid w:val="436F31F7"/>
    <w:rsid w:val="43E1086D"/>
    <w:rsid w:val="44297E76"/>
    <w:rsid w:val="45041820"/>
    <w:rsid w:val="45331FAE"/>
    <w:rsid w:val="46BA58D8"/>
    <w:rsid w:val="47121270"/>
    <w:rsid w:val="48A00AFD"/>
    <w:rsid w:val="48CF053E"/>
    <w:rsid w:val="49A168DB"/>
    <w:rsid w:val="4BB46D99"/>
    <w:rsid w:val="4BF73B51"/>
    <w:rsid w:val="4D001F86"/>
    <w:rsid w:val="4EC73AF9"/>
    <w:rsid w:val="4EE5110B"/>
    <w:rsid w:val="4EEC05F8"/>
    <w:rsid w:val="513D15DF"/>
    <w:rsid w:val="51750D79"/>
    <w:rsid w:val="52656CF4"/>
    <w:rsid w:val="53CC6C4A"/>
    <w:rsid w:val="53F561A1"/>
    <w:rsid w:val="54EC7620"/>
    <w:rsid w:val="55E464CD"/>
    <w:rsid w:val="572F3778"/>
    <w:rsid w:val="574D00A2"/>
    <w:rsid w:val="57C817C8"/>
    <w:rsid w:val="57F901AF"/>
    <w:rsid w:val="583D5D79"/>
    <w:rsid w:val="58CE6F20"/>
    <w:rsid w:val="596C0CB3"/>
    <w:rsid w:val="5A1E10E2"/>
    <w:rsid w:val="5A516AE4"/>
    <w:rsid w:val="5B180653"/>
    <w:rsid w:val="5C4406C7"/>
    <w:rsid w:val="5D7C348F"/>
    <w:rsid w:val="5D964551"/>
    <w:rsid w:val="5DCC5A5B"/>
    <w:rsid w:val="5E457D25"/>
    <w:rsid w:val="5EA42A39"/>
    <w:rsid w:val="5F9E593F"/>
    <w:rsid w:val="610E7066"/>
    <w:rsid w:val="612956DC"/>
    <w:rsid w:val="616E1BAE"/>
    <w:rsid w:val="61A17D4A"/>
    <w:rsid w:val="63220635"/>
    <w:rsid w:val="63BA4EAB"/>
    <w:rsid w:val="64D02D4C"/>
    <w:rsid w:val="65D20785"/>
    <w:rsid w:val="665B6338"/>
    <w:rsid w:val="678E44EB"/>
    <w:rsid w:val="6B797260"/>
    <w:rsid w:val="6C0E102E"/>
    <w:rsid w:val="6CF353E9"/>
    <w:rsid w:val="6EB94A26"/>
    <w:rsid w:val="71196327"/>
    <w:rsid w:val="72620A4E"/>
    <w:rsid w:val="72B01004"/>
    <w:rsid w:val="75B20C52"/>
    <w:rsid w:val="76515061"/>
    <w:rsid w:val="769E5DCD"/>
    <w:rsid w:val="76D2275A"/>
    <w:rsid w:val="77EB6DF0"/>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5">
    <w:name w:val="Body Text First Indent 2"/>
    <w:basedOn w:val="3"/>
    <w:unhideWhenUsed/>
    <w:qFormat/>
    <w:uiPriority w:val="99"/>
    <w:pPr>
      <w:ind w:firstLine="420" w:firstLineChars="200"/>
    </w:pPr>
  </w:style>
  <w:style w:type="character" w:styleId="8">
    <w:name w:val="Strong"/>
    <w:basedOn w:val="7"/>
    <w:qFormat/>
    <w:uiPriority w:val="0"/>
    <w:rPr>
      <w:b/>
    </w:rPr>
  </w:style>
  <w:style w:type="paragraph" w:customStyle="1" w:styleId="9">
    <w:name w:val="A二级"/>
    <w:basedOn w:val="1"/>
    <w:qFormat/>
    <w:uiPriority w:val="0"/>
    <w:pPr>
      <w:widowControl w:val="0"/>
      <w:numPr>
        <w:ilvl w:val="1"/>
        <w:numId w:val="1"/>
      </w:numPr>
      <w:spacing w:before="100" w:beforeLines="100" w:line="360" w:lineRule="auto"/>
      <w:outlineLvl w:val="1"/>
    </w:pPr>
    <w:rPr>
      <w:rFonts w:ascii="Times New Roman" w:hAnsi="Times New Roman" w:eastAsia="华文中宋" w:cs="Times New Roman"/>
      <w:b/>
      <w:kern w:val="2"/>
      <w:sz w:val="30"/>
    </w:rPr>
  </w:style>
  <w:style w:type="paragraph" w:customStyle="1" w:styleId="10">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 w:type="paragraph" w:customStyle="1" w:styleId="11">
    <w:name w:val="A三级"/>
    <w:basedOn w:val="9"/>
    <w:qFormat/>
    <w:uiPriority w:val="0"/>
    <w:pPr>
      <w:numPr>
        <w:ilvl w:val="2"/>
      </w:numPr>
      <w:spacing w:beforeLines="0" w:beforeAutospacing="1"/>
      <w:ind w:left="0" w:firstLine="0"/>
      <w:outlineLvl w:val="2"/>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1491</Words>
  <Characters>1557</Characters>
  <Lines>0</Lines>
  <Paragraphs>0</Paragraphs>
  <TotalTime>12</TotalTime>
  <ScaleCrop>false</ScaleCrop>
  <LinksUpToDate>false</LinksUpToDate>
  <CharactersWithSpaces>1565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孙博宏</cp:lastModifiedBy>
  <dcterms:modified xsi:type="dcterms:W3CDTF">2025-06-19T10:24:28Z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1205D35C5E5E423FA4657E94D13F7AEC_13</vt:lpwstr>
  </property>
  <property fmtid="{D5CDD505-2E9C-101B-9397-08002B2CF9AE}" pid="4" name="KSOTemplateDocerSaveRecord">
    <vt:lpwstr>eyJoZGlkIjoiYjJjOTQxYzhjODMyMDAzZmE0MDJkMWFkNmJlNDkwYTUiLCJ1c2VySWQiOiI0MTY1OTI3NDcifQ==</vt:lpwstr>
  </property>
</Properties>
</file>