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both"/>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both"/>
        <w:textAlignment w:val="auto"/>
        <w:rPr>
          <w:rFonts w:hint="eastAsia" w:ascii="宋体" w:hAnsi="宋体"/>
          <w:color w:val="000000" w:themeColor="text1"/>
          <w:sz w:val="32"/>
          <w:szCs w:val="32"/>
          <w:u w:val="none"/>
          <w14:textFill>
            <w14:solidFill>
              <w14:schemeClr w14:val="tx1"/>
            </w14:solidFill>
          </w14:textFill>
        </w:rPr>
      </w:pP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center"/>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r>
        <w:rPr>
          <w:rFonts w:hint="eastAsia" w:ascii="方正小标宋简体" w:eastAsia="方正小标宋简体"/>
          <w:color w:val="000000" w:themeColor="text1"/>
          <w:spacing w:val="-12"/>
          <w:sz w:val="44"/>
          <w:szCs w:val="44"/>
          <w:u w:val="none"/>
          <w14:textFill>
            <w14:solidFill>
              <w14:schemeClr w14:val="tx1"/>
            </w14:solidFill>
          </w14:textFill>
        </w:rPr>
        <w:t>部分不合格项目的小知识</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jc w:val="both"/>
        <w:textAlignment w:val="auto"/>
        <w:rPr>
          <w:rFonts w:hint="eastAsia" w:ascii="方正小标宋简体" w:eastAsia="方正小标宋简体"/>
          <w:color w:val="000000" w:themeColor="text1"/>
          <w:spacing w:val="-12"/>
          <w:sz w:val="44"/>
          <w:szCs w:val="44"/>
          <w:u w:val="none"/>
          <w14:textFill>
            <w14:solidFill>
              <w14:schemeClr w14:val="tx1"/>
            </w14:solidFill>
          </w14:textFill>
        </w:rPr>
      </w:pP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jc w:val="both"/>
        <w:textAlignment w:val="auto"/>
        <w:rPr>
          <w:rFonts w:hint="eastAsia" w:ascii="仿宋" w:hAnsi="仿宋" w:eastAsia="仿宋"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b w:val="0"/>
          <w:color w:val="000000" w:themeColor="text1"/>
          <w:kern w:val="2"/>
          <w:sz w:val="32"/>
          <w:szCs w:val="32"/>
          <w:u w:val="none"/>
          <w:lang w:val="en-US" w:eastAsia="zh-CN" w:bidi="ar-SA"/>
          <w14:textFill>
            <w14:solidFill>
              <w14:schemeClr w14:val="tx1"/>
            </w14:solidFill>
          </w14:textFill>
        </w:rPr>
        <w:t>一、</w:t>
      </w: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噻虫胺</w:t>
      </w:r>
    </w:p>
    <w:p>
      <w:pPr>
        <w:keepNext w:val="0"/>
        <w:keepLines w:val="0"/>
        <w:pageBreakBefore w:val="0"/>
        <w:kinsoku/>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2"/>
          <w:sz w:val="32"/>
          <w:szCs w:val="32"/>
          <w:u w:val="none"/>
          <w:lang w:val="en-US" w:eastAsia="zh-CN" w:bidi="ar-SA"/>
        </w:rPr>
      </w:pPr>
      <w:r>
        <w:rPr>
          <w:rFonts w:hint="default" w:ascii="仿宋_GB2312" w:hAnsi="仿宋_GB2312" w:eastAsia="仿宋_GB2312" w:cs="仿宋_GB2312"/>
          <w:color w:val="000000"/>
          <w:kern w:val="2"/>
          <w:sz w:val="32"/>
          <w:szCs w:val="32"/>
          <w:u w:val="none"/>
          <w:lang w:val="en-US" w:eastAsia="zh-CN" w:bidi="ar-SA"/>
        </w:rPr>
        <w:t>噻虫胺</w:t>
      </w:r>
      <w:r>
        <w:rPr>
          <w:rFonts w:hint="eastAsia" w:ascii="仿宋_GB2312" w:hAnsi="仿宋_GB2312" w:eastAsia="仿宋_GB2312" w:cs="仿宋_GB2312"/>
          <w:color w:val="000000"/>
          <w:kern w:val="2"/>
          <w:sz w:val="32"/>
          <w:szCs w:val="32"/>
          <w:u w:val="none"/>
          <w:lang w:val="en-US" w:eastAsia="zh-CN" w:bidi="ar-SA"/>
        </w:rPr>
        <w:t>属</w:t>
      </w:r>
      <w:r>
        <w:rPr>
          <w:rFonts w:hint="default" w:ascii="仿宋_GB2312" w:hAnsi="仿宋_GB2312" w:eastAsia="仿宋_GB2312" w:cs="仿宋_GB2312"/>
          <w:color w:val="000000"/>
          <w:kern w:val="2"/>
          <w:sz w:val="32"/>
          <w:szCs w:val="32"/>
          <w:u w:val="none"/>
          <w:lang w:val="en-US" w:eastAsia="zh-CN" w:bidi="ar-SA"/>
        </w:rPr>
        <w:t>烟碱类杀虫剂，具有触杀、胃毒作用，具有根内吸活性和层间传导性。</w:t>
      </w:r>
      <w:r>
        <w:rPr>
          <w:rFonts w:hint="eastAsia" w:ascii="仿宋_GB2312" w:hAnsi="仿宋_GB2312" w:eastAsia="仿宋_GB2312" w:cs="仿宋_GB2312"/>
          <w:color w:val="000000"/>
          <w:kern w:val="2"/>
          <w:sz w:val="32"/>
          <w:szCs w:val="32"/>
          <w:u w:val="none"/>
          <w:lang w:val="en-US" w:eastAsia="zh-CN" w:bidi="ar-SA"/>
        </w:rPr>
        <w:t>根据《</w:t>
      </w:r>
      <w:r>
        <w:rPr>
          <w:rFonts w:hint="default" w:ascii="仿宋_GB2312" w:hAnsi="仿宋_GB2312" w:eastAsia="仿宋_GB2312" w:cs="仿宋_GB2312"/>
          <w:color w:val="000000"/>
          <w:kern w:val="2"/>
          <w:sz w:val="32"/>
          <w:szCs w:val="32"/>
          <w:u w:val="none"/>
          <w:lang w:val="en-US" w:eastAsia="zh-CN" w:bidi="ar-SA"/>
        </w:rPr>
        <w:t>食品安全国家标准 食品中农药最大残留限量</w:t>
      </w:r>
      <w:r>
        <w:rPr>
          <w:rFonts w:hint="eastAsia" w:ascii="仿宋_GB2312" w:hAnsi="仿宋_GB2312" w:eastAsia="仿宋_GB2312" w:cs="仿宋_GB2312"/>
          <w:color w:val="000000"/>
          <w:kern w:val="2"/>
          <w:sz w:val="32"/>
          <w:szCs w:val="32"/>
          <w:u w:val="none"/>
          <w:lang w:val="en-US" w:eastAsia="zh-CN" w:bidi="ar-SA"/>
        </w:rPr>
        <w:t xml:space="preserve">》（GB </w:t>
      </w:r>
      <w:r>
        <w:rPr>
          <w:rFonts w:hint="default" w:ascii="仿宋_GB2312" w:hAnsi="仿宋_GB2312" w:eastAsia="仿宋_GB2312" w:cs="仿宋_GB2312"/>
          <w:color w:val="000000"/>
          <w:kern w:val="2"/>
          <w:sz w:val="32"/>
          <w:szCs w:val="32"/>
          <w:u w:val="none"/>
          <w:lang w:val="en-US" w:eastAsia="zh-CN" w:bidi="ar-SA"/>
        </w:rPr>
        <w:t>2763-2021</w:t>
      </w:r>
      <w:r>
        <w:rPr>
          <w:rFonts w:hint="eastAsia" w:ascii="仿宋_GB2312" w:hAnsi="仿宋_GB2312" w:eastAsia="仿宋_GB2312" w:cs="仿宋_GB2312"/>
          <w:color w:val="000000"/>
          <w:kern w:val="2"/>
          <w:sz w:val="32"/>
          <w:szCs w:val="32"/>
          <w:u w:val="none"/>
          <w:lang w:val="en-US" w:eastAsia="zh-CN" w:bidi="ar-SA"/>
        </w:rPr>
        <w:t>）中的规定，姜中噻虫胺限量标准为0.2mg/kg，</w:t>
      </w:r>
      <w:r>
        <w:rPr>
          <w:rFonts w:hint="default" w:ascii="仿宋_GB2312" w:hAnsi="仿宋_GB2312" w:eastAsia="仿宋_GB2312" w:cs="仿宋_GB2312"/>
          <w:color w:val="000000"/>
          <w:kern w:val="2"/>
          <w:sz w:val="32"/>
          <w:szCs w:val="32"/>
          <w:u w:val="none"/>
          <w:lang w:val="en-US" w:eastAsia="zh-CN" w:bidi="ar-SA"/>
        </w:rPr>
        <w:t>噻虫胺残留量超标的原因可能是为快速控制虫害，未遵守采摘间隔期</w:t>
      </w:r>
      <w:r>
        <w:rPr>
          <w:rFonts w:hint="eastAsia" w:ascii="仿宋_GB2312" w:hAnsi="仿宋_GB2312" w:eastAsia="仿宋_GB2312" w:cs="仿宋_GB2312"/>
          <w:color w:val="000000"/>
          <w:kern w:val="2"/>
          <w:sz w:val="32"/>
          <w:szCs w:val="32"/>
          <w:u w:val="none"/>
          <w:lang w:val="en-US" w:eastAsia="zh-CN" w:bidi="ar-SA"/>
        </w:rPr>
        <w:t>休药后再采摘的</w:t>
      </w:r>
      <w:r>
        <w:rPr>
          <w:rFonts w:hint="default" w:ascii="仿宋_GB2312" w:hAnsi="仿宋_GB2312" w:eastAsia="仿宋_GB2312" w:cs="仿宋_GB2312"/>
          <w:color w:val="000000"/>
          <w:kern w:val="2"/>
          <w:sz w:val="32"/>
          <w:szCs w:val="32"/>
          <w:u w:val="none"/>
          <w:lang w:val="en-US" w:eastAsia="zh-CN" w:bidi="ar-SA"/>
        </w:rPr>
        <w:t>规定，致使上市销售的产品中残留量超标。</w:t>
      </w:r>
    </w:p>
    <w:p>
      <w:pPr>
        <w:keepNext w:val="0"/>
        <w:keepLines w:val="0"/>
        <w:pageBreakBefore w:val="0"/>
        <w:numPr>
          <w:ilvl w:val="0"/>
          <w:numId w:val="0"/>
        </w:numPr>
        <w:kinsoku/>
        <w:overflowPunct/>
        <w:topLinePunct w:val="0"/>
        <w:autoSpaceDE/>
        <w:bidi w:val="0"/>
        <w:adjustRightInd/>
        <w:snapToGrid/>
        <w:spacing w:line="64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二、</w:t>
      </w:r>
      <w:r>
        <w:rPr>
          <w:rFonts w:hint="eastAsia" w:ascii="黑体" w:hAnsi="黑体" w:eastAsia="黑体" w:cs="仿宋_GB2312"/>
          <w:color w:val="auto"/>
          <w:kern w:val="2"/>
          <w:sz w:val="32"/>
          <w:szCs w:val="32"/>
          <w:u w:val="none"/>
          <w:lang w:val="en-US" w:eastAsia="zh-CN"/>
        </w:rPr>
        <w:t>过氧化值</w:t>
      </w:r>
    </w:p>
    <w:p>
      <w:pPr>
        <w:keepNext w:val="0"/>
        <w:keepLines w:val="0"/>
        <w:pageBreakBefore w:val="0"/>
        <w:widowControl/>
        <w:suppressLineNumbers w:val="0"/>
        <w:kinsoku/>
        <w:overflowPunct/>
        <w:topLinePunct w:val="0"/>
        <w:autoSpaceDE/>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过氧化值主要反映食品中油脂是否氧化变质。随着油脂氧化，过氧化值会逐步升高。过氧化值超标的原因，可能是产品用油已经变质，或者产品在储存过程中环境条件控制不当，导致油脂酸败；也可能是原料储存不当，未采取有效的抗氧化措施，使得</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原料中的脂肪已经氧化，</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导致</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终产品油脂氧化酸败</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ind w:firstLine="640"/>
        <w:textAlignment w:val="auto"/>
        <w:rPr>
          <w:rFonts w:hint="eastAsia" w:ascii="黑体" w:hAnsi="黑体" w:eastAsia="黑体" w:cs="仿宋_GB2312"/>
          <w:color w:val="000000" w:themeColor="text1"/>
          <w:kern w:val="2"/>
          <w:sz w:val="32"/>
          <w:szCs w:val="32"/>
          <w:u w:val="none"/>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三、</w:t>
      </w:r>
      <w:r>
        <w:rPr>
          <w:rFonts w:hint="eastAsia" w:ascii="黑体" w:hAnsi="黑体" w:eastAsia="黑体" w:cs="仿宋_GB2312"/>
          <w:color w:val="000000" w:themeColor="text1"/>
          <w:kern w:val="2"/>
          <w:sz w:val="32"/>
          <w:szCs w:val="32"/>
          <w:u w:val="none"/>
          <w14:textFill>
            <w14:solidFill>
              <w14:schemeClr w14:val="tx1"/>
            </w14:solidFill>
          </w14:textFill>
        </w:rPr>
        <w:t>吡虫啉</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ind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吡虫啉是烟碱类超高效杀虫剂，具有广谱、高效、低毒、低残留，害虫不易产生抗性，并有触杀、胃毒和内吸等多重作用。《食品安全国家标准 食品中农药最大残留限量》（GB 2763-2021）中规定食用农产品中</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吡虫啉</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最大残留限量为0.05mg/kg。呲虫啉超标的原因可能是种植环节没有按照农药使用规范用药。</w:t>
      </w:r>
    </w:p>
    <w:p>
      <w:pPr>
        <w:keepNext w:val="0"/>
        <w:keepLines w:val="0"/>
        <w:pageBreakBefore w:val="0"/>
        <w:numPr>
          <w:ilvl w:val="0"/>
          <w:numId w:val="0"/>
        </w:numPr>
        <w:kinsoku/>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auto"/>
          <w:kern w:val="2"/>
          <w:sz w:val="32"/>
          <w:szCs w:val="32"/>
          <w:u w:val="none"/>
          <w:lang w:val="en-US" w:eastAsia="zh-CN"/>
        </w:rPr>
        <w:t>四、霉菌</w:t>
      </w:r>
    </w:p>
    <w:p>
      <w:pPr>
        <w:keepNext w:val="0"/>
        <w:keepLines w:val="0"/>
        <w:pageBreakBefore w:val="0"/>
        <w:widowControl w:val="0"/>
        <w:kinsoku/>
        <w:overflowPunct/>
        <w:topLinePunct w:val="0"/>
        <w:autoSpaceDE/>
        <w:bidi w:val="0"/>
        <w:adjustRightInd/>
        <w:snapToGrid/>
        <w:spacing w:line="640" w:lineRule="exact"/>
        <w:ind w:left="0" w:leftChars="0" w:firstLine="640" w:firstLineChars="200"/>
        <w:jc w:val="both"/>
        <w:textAlignment w:val="auto"/>
        <w:rPr>
          <w:rFonts w:hint="eastAsia"/>
          <w:lang w:val="en-US" w:eastAsia="zh-CN"/>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霉菌是评价食品质量安全的一项指示性指标，食品中霉菌数是指食品检样经过处理，在一定条件下培养后，计数所得1g或1mL检样中所形成的霉菌菌落数。霉菌超标的原因，可能是原料或包装材料受到霉菌污染，</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也可能是生产加工过程中卫生条件控制不严格消毒不彻底，还可能与产品包装密封不严、储运条件控制不当等有关</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numPr>
          <w:ilvl w:val="0"/>
          <w:numId w:val="1"/>
        </w:numPr>
        <w:kinsoku/>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二氧化氯</w:t>
      </w:r>
    </w:p>
    <w:p>
      <w:pPr>
        <w:keepNext w:val="0"/>
        <w:keepLines w:val="0"/>
        <w:pageBreakBefore w:val="0"/>
        <w:widowControl w:val="0"/>
        <w:kinsoku/>
        <w:overflowPunct/>
        <w:topLinePunct w:val="0"/>
        <w:autoSpaceDE/>
        <w:bidi w:val="0"/>
        <w:adjustRightInd/>
        <w:snapToGrid/>
        <w:spacing w:line="640" w:lineRule="exact"/>
        <w:ind w:left="0" w:leftChars="0" w:firstLine="640" w:firstLineChars="200"/>
        <w:jc w:val="both"/>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bookmarkStart w:id="0" w:name="OLE_LINK1"/>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二氧化氯</w:t>
      </w:r>
      <w:bookmarkEnd w:id="0"/>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在食品加工和储存过程中常作为保鲜剂使用，其可以</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通过抑制微生物繁殖</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及</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延缓果蔬腐败代谢</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来</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实现保鲜功能。</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《食品安全国家标准食品添加剂使用标准》(GB 2760-2024)中规定，二氧化氯在经表面处理的鲜水果和新鲜蔬菜中的最大使用量为0.01g/kg。二氧化氯超标的原因可能是生产企业为了</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延长食品的保质期</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而超量使用二氧化氯，或者在使用时计量不准确等。</w:t>
      </w:r>
    </w:p>
    <w:p>
      <w:pPr>
        <w:keepNext w:val="0"/>
        <w:keepLines w:val="0"/>
        <w:pageBreakBefore w:val="0"/>
        <w:numPr>
          <w:ilvl w:val="0"/>
          <w:numId w:val="0"/>
        </w:numPr>
        <w:kinsoku/>
        <w:overflowPunct/>
        <w:topLinePunct w:val="0"/>
        <w:autoSpaceDE/>
        <w:autoSpaceDN/>
        <w:bidi w:val="0"/>
        <w:adjustRightInd/>
        <w:snapToGrid/>
        <w:spacing w:line="640" w:lineRule="exact"/>
        <w:ind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六、</w:t>
      </w:r>
      <w:r>
        <w:rPr>
          <w:rFonts w:hint="eastAsia" w:ascii="黑体" w:hAnsi="黑体" w:eastAsia="黑体" w:cs="仿宋_GB2312"/>
          <w:color w:val="auto"/>
          <w:kern w:val="2"/>
          <w:sz w:val="32"/>
          <w:szCs w:val="32"/>
          <w:u w:val="none"/>
          <w:lang w:val="en-US" w:eastAsia="zh-CN"/>
        </w:rPr>
        <w:t>丙溴磷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u w:val="none"/>
          <w:lang w:val="en-US" w:eastAsia="zh-CN" w:bidi="ar-SA"/>
        </w:rPr>
        <w:t>丙溴磷是一种广谱性杀虫剂，主要用于防治棉花、蔬菜、果蔬等作物的虫害，具有触杀</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和胃毒作用。《食品安全国家标准食品中农药最大残留限量》（GB 2763-2021）中规定，丙溴磷在柑、橘中的最大残留限量为0.2mg/kg。丙溴磷超标的原因可能是果农未严格按照标准规定施药或施药后未严格落实农药安全间隔期造成。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bidi w:val="0"/>
        <w:adjustRightInd/>
        <w:snapToGrid/>
        <w:spacing w:beforeAutospacing="0" w:afterAutospacing="0" w:line="640" w:lineRule="exact"/>
        <w:ind w:left="0" w:right="0" w:firstLine="640" w:firstLineChars="200"/>
        <w:jc w:val="left"/>
        <w:textAlignment w:val="auto"/>
        <w:rPr>
          <w:rFonts w:hint="default"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七、</w:t>
      </w:r>
      <w:r>
        <w:rPr>
          <w:rFonts w:hint="default" w:ascii="黑体" w:hAnsi="黑体" w:eastAsia="黑体" w:cs="仿宋_GB2312"/>
          <w:color w:val="000000" w:themeColor="text1"/>
          <w:kern w:val="2"/>
          <w:sz w:val="32"/>
          <w:szCs w:val="32"/>
          <w:u w:val="none"/>
          <w:lang w:val="en-US" w:eastAsia="zh-CN" w:bidi="ar-SA"/>
          <w14:textFill>
            <w14:solidFill>
              <w14:schemeClr w14:val="tx1"/>
            </w14:solidFill>
          </w14:textFill>
        </w:rPr>
        <w:t>脱氢乙酸及其钠盐</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脱氢乙酸及其钠盐作为一种广谱食品防腐剂，对霉菌和酵母菌的抑制能力强。《食品安全国家标准 食品添加剂使用标准》（GB 2760）中规定</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糕点</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中不得使用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。检出</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脱氢乙酸及其钠盐</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的原因可能是生产企业为延长产品保质期，或者弥补产品生产过程中卫生条件不佳而超范围使用。</w:t>
      </w:r>
    </w:p>
    <w:p>
      <w:pPr>
        <w:keepNext w:val="0"/>
        <w:keepLines w:val="0"/>
        <w:pageBreakBefore w:val="0"/>
        <w:numPr>
          <w:ilvl w:val="0"/>
          <w:numId w:val="0"/>
        </w:numPr>
        <w:kinsoku/>
        <w:overflowPunct/>
        <w:topLinePunct w:val="0"/>
        <w:autoSpaceDE/>
        <w:bidi w:val="0"/>
        <w:adjustRightInd/>
        <w:snapToGrid/>
        <w:spacing w:line="640" w:lineRule="exact"/>
        <w:ind w:left="630" w:leftChars="0"/>
        <w:jc w:val="both"/>
        <w:textAlignment w:val="auto"/>
        <w:rPr>
          <w:rFonts w:hint="default" w:ascii="黑体" w:hAnsi="黑体" w:eastAsia="黑体" w:cs="仿宋_GB2312"/>
          <w:color w:val="000000" w:themeColor="text1"/>
          <w:kern w:val="2"/>
          <w:sz w:val="32"/>
          <w:szCs w:val="32"/>
          <w:highlight w:val="none"/>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highlight w:val="none"/>
          <w:u w:val="none"/>
          <w:lang w:val="en-US" w:eastAsia="zh-CN"/>
          <w14:textFill>
            <w14:solidFill>
              <w14:schemeClr w14:val="tx1"/>
            </w14:solidFill>
          </w14:textFill>
        </w:rPr>
        <w:t>八、柠</w:t>
      </w:r>
      <w:r>
        <w:rPr>
          <w:rFonts w:hint="default" w:ascii="黑体" w:hAnsi="黑体" w:eastAsia="黑体" w:cs="仿宋_GB2312"/>
          <w:color w:val="000000" w:themeColor="text1"/>
          <w:kern w:val="2"/>
          <w:sz w:val="32"/>
          <w:szCs w:val="32"/>
          <w:highlight w:val="none"/>
          <w:u w:val="none"/>
          <w:lang w:val="en-US" w:eastAsia="zh-CN"/>
          <w14:textFill>
            <w14:solidFill>
              <w14:schemeClr w14:val="tx1"/>
            </w14:solidFill>
          </w14:textFill>
        </w:rPr>
        <w:t>檬黄</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柠檬黄又称酒石黄、酸性淡黄、肼黄，是常见的人工合成着色剂，主要是使食品着色，是赋予和改善食品色泽的物质，没有营养价值。《食品安全国家标准 食品添加剂使用标准》（GB 2760）中规定柠檬黄在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糕点</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中不得</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添加</w:t>
      </w:r>
      <w:r>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。柠檬黄不合格可能是企业在生产加工过程中超范围使用食品添加剂。</w:t>
      </w:r>
    </w:p>
    <w:p>
      <w:pPr>
        <w:keepNext w:val="0"/>
        <w:keepLines w:val="0"/>
        <w:pageBreakBefore w:val="0"/>
        <w:kinsoku/>
        <w:wordWrap w:val="0"/>
        <w:overflowPunct/>
        <w:topLinePunct w:val="0"/>
        <w:autoSpaceDE/>
        <w:autoSpaceDN w:val="0"/>
        <w:bidi w:val="0"/>
        <w:adjustRightInd/>
        <w:snapToGrid/>
        <w:spacing w:line="640" w:lineRule="exact"/>
        <w:ind w:firstLine="640" w:firstLineChars="200"/>
        <w:jc w:val="left"/>
        <w:textAlignment w:val="auto"/>
        <w:rPr>
          <w:rFonts w:hint="eastAsia" w:ascii="黑体" w:hAnsi="黑体" w:eastAsia="黑体" w:cs="仿宋_GB2312"/>
          <w:color w:val="000000" w:themeColor="text1"/>
          <w:kern w:val="2"/>
          <w:sz w:val="32"/>
          <w:szCs w:val="32"/>
          <w:u w:val="none"/>
          <w:lang w:val="en-US" w:eastAsia="zh-CN"/>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14:textFill>
            <w14:solidFill>
              <w14:schemeClr w14:val="tx1"/>
            </w14:solidFill>
          </w14:textFill>
        </w:rPr>
        <w:t>九、大肠菌群</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大肠菌群，是国内外通用的食品污染常用指示菌之一。检出大肠菌群，是有被致病菌(如沙门菌、志贺菌、致病性大肠杆菌)污染的可能。大肠菌群超标的原因可能是由于产品受到了来自原料、包材、人员、设备等方面的污染，或产品储运条件不当而导致。</w:t>
      </w:r>
    </w:p>
    <w:p>
      <w:pPr>
        <w:keepNext w:val="0"/>
        <w:keepLines w:val="0"/>
        <w:pageBreakBefore w:val="0"/>
        <w:widowControl/>
        <w:kinsoku/>
        <w:wordWrap w:val="0"/>
        <w:overflowPunct/>
        <w:topLinePunct w:val="0"/>
        <w:autoSpaceDE/>
        <w:autoSpaceDN/>
        <w:bidi w:val="0"/>
        <w:adjustRightInd/>
        <w:snapToGrid/>
        <w:spacing w:beforeAutospacing="0" w:afterAutospacing="0" w:line="640" w:lineRule="exact"/>
        <w:ind w:left="0" w:right="0" w:firstLine="640" w:firstLineChars="200"/>
        <w:jc w:val="left"/>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十、菌落总数</w:t>
      </w:r>
    </w:p>
    <w:p>
      <w:pPr>
        <w:keepNext w:val="0"/>
        <w:keepLines w:val="0"/>
        <w:pageBreakBefore w:val="0"/>
        <w:kinsoku/>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菌落总数是指示性微生物指标，用以反映食品卫生状况。超标原因可能是生产企业所使用的原辅料初始菌落数较高；也可能是生产加工过程中卫生条件控制不严格；还可能与产品包装密封不严、储运条件控制不当等有关。</w:t>
      </w:r>
    </w:p>
    <w:p>
      <w:pPr>
        <w:pStyle w:val="6"/>
        <w:keepNext w:val="0"/>
        <w:keepLines w:val="0"/>
        <w:pageBreakBefore w:val="0"/>
        <w:widowControl/>
        <w:kinsoku/>
        <w:wordWrap w:val="0"/>
        <w:overflowPunct/>
        <w:topLinePunct w:val="0"/>
        <w:autoSpaceDE/>
        <w:autoSpaceDN/>
        <w:bidi w:val="0"/>
        <w:adjustRightInd/>
        <w:snapToGrid/>
        <w:spacing w:before="0" w:beforeLines="0" w:beforeAutospacing="0" w:after="0" w:afterLines="0" w:afterAutospacing="0" w:line="640" w:lineRule="exact"/>
        <w:ind w:firstLine="640" w:firstLineChars="200"/>
        <w:textAlignment w:val="auto"/>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仿宋_GB2312"/>
          <w:color w:val="000000" w:themeColor="text1"/>
          <w:kern w:val="2"/>
          <w:sz w:val="32"/>
          <w:szCs w:val="32"/>
          <w:u w:val="none"/>
          <w:lang w:val="en-US" w:eastAsia="zh-CN" w:bidi="ar-SA"/>
          <w14:textFill>
            <w14:solidFill>
              <w14:schemeClr w14:val="tx1"/>
            </w14:solidFill>
          </w14:textFill>
        </w:rPr>
        <w:t>十一、咪鲜胺和咪鲜胺锰盐</w:t>
      </w:r>
    </w:p>
    <w:p>
      <w:pPr>
        <w:keepNext w:val="0"/>
        <w:keepLines w:val="0"/>
        <w:pageBreakBefore w:val="0"/>
        <w:numPr>
          <w:ilvl w:val="0"/>
          <w:numId w:val="0"/>
        </w:numPr>
        <w:kinsoku/>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kern w:val="2"/>
          <w:sz w:val="32"/>
          <w:szCs w:val="32"/>
          <w:u w:val="none"/>
          <w:lang w:val="en-US" w:eastAsia="zh-CN" w:bidi="ar-SA"/>
        </w:rPr>
        <w:t>咪鲜胺属于咪唑类杀菌剂，对大田作物、水果蔬菜及观赏植物上的多种病害具有治疗作用。《食品安全国家标准 食品中农药最大残留限量》（GB2763—2021）中规定，山药中咪鲜胺和咪鲜胺锰盐的最大残留限量为0.3mg/kg。咪鲜胺和咪鲜胺锰盐残留超标可能是生产者未严格按照标准规定施药或施药后未严格落实农药安全间隔期造成。</w:t>
      </w:r>
      <w:bookmarkStart w:id="1" w:name="_GoBack"/>
      <w:bookmarkEnd w:id="1"/>
    </w:p>
    <w:sectPr>
      <w:headerReference r:id="rId3" w:type="default"/>
      <w:footerReference r:id="rId4" w:type="default"/>
      <w:pgSz w:w="11906" w:h="16838"/>
      <w:pgMar w:top="2098" w:right="158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roman"/>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1EAB7"/>
    <w:multiLevelType w:val="singleLevel"/>
    <w:tmpl w:val="9061EAB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zExMGFjNGI3MGU0NmMxMTA3NmIzOWNmMWZkMzgifQ=="/>
  </w:docVars>
  <w:rsids>
    <w:rsidRoot w:val="0C8C4767"/>
    <w:rsid w:val="01B70B11"/>
    <w:rsid w:val="02D4355F"/>
    <w:rsid w:val="05186D88"/>
    <w:rsid w:val="051C7148"/>
    <w:rsid w:val="05745268"/>
    <w:rsid w:val="069C2004"/>
    <w:rsid w:val="06D74455"/>
    <w:rsid w:val="077B57F1"/>
    <w:rsid w:val="078E2491"/>
    <w:rsid w:val="08123F6F"/>
    <w:rsid w:val="08A27FDB"/>
    <w:rsid w:val="08F71048"/>
    <w:rsid w:val="0911726A"/>
    <w:rsid w:val="0ADC2FBC"/>
    <w:rsid w:val="0B45380D"/>
    <w:rsid w:val="0BA40294"/>
    <w:rsid w:val="0C8C4767"/>
    <w:rsid w:val="0D7F373F"/>
    <w:rsid w:val="0EDE2A98"/>
    <w:rsid w:val="0F39699B"/>
    <w:rsid w:val="10D66823"/>
    <w:rsid w:val="11CB0F6B"/>
    <w:rsid w:val="148F26F1"/>
    <w:rsid w:val="15EC594F"/>
    <w:rsid w:val="167B6CBC"/>
    <w:rsid w:val="168C6AE4"/>
    <w:rsid w:val="17677D3A"/>
    <w:rsid w:val="18484AED"/>
    <w:rsid w:val="19212ABA"/>
    <w:rsid w:val="1924456A"/>
    <w:rsid w:val="193E766E"/>
    <w:rsid w:val="1A1F09D3"/>
    <w:rsid w:val="1B303622"/>
    <w:rsid w:val="1C2A5945"/>
    <w:rsid w:val="1CAB48B3"/>
    <w:rsid w:val="1D4213BE"/>
    <w:rsid w:val="1F774E39"/>
    <w:rsid w:val="225E6E53"/>
    <w:rsid w:val="232572E3"/>
    <w:rsid w:val="23917A33"/>
    <w:rsid w:val="23F60CAA"/>
    <w:rsid w:val="242749E3"/>
    <w:rsid w:val="2462067D"/>
    <w:rsid w:val="2466310B"/>
    <w:rsid w:val="25586759"/>
    <w:rsid w:val="26631425"/>
    <w:rsid w:val="269B2CCF"/>
    <w:rsid w:val="26DF4641"/>
    <w:rsid w:val="272354B2"/>
    <w:rsid w:val="279C4F22"/>
    <w:rsid w:val="27A95480"/>
    <w:rsid w:val="28B22DF6"/>
    <w:rsid w:val="29572E48"/>
    <w:rsid w:val="2A2D3458"/>
    <w:rsid w:val="2A8B307E"/>
    <w:rsid w:val="2AA373AB"/>
    <w:rsid w:val="2BAF5CCC"/>
    <w:rsid w:val="2BCE09B8"/>
    <w:rsid w:val="2D851703"/>
    <w:rsid w:val="2DB63420"/>
    <w:rsid w:val="2ED91C95"/>
    <w:rsid w:val="31921EC9"/>
    <w:rsid w:val="31B5579D"/>
    <w:rsid w:val="324E00CB"/>
    <w:rsid w:val="32882B90"/>
    <w:rsid w:val="332F602F"/>
    <w:rsid w:val="33775400"/>
    <w:rsid w:val="33883CFF"/>
    <w:rsid w:val="34CA45A9"/>
    <w:rsid w:val="34CC7B36"/>
    <w:rsid w:val="36225F84"/>
    <w:rsid w:val="36441098"/>
    <w:rsid w:val="397F29C3"/>
    <w:rsid w:val="39B72E0C"/>
    <w:rsid w:val="3AE350CD"/>
    <w:rsid w:val="3C0E1DC6"/>
    <w:rsid w:val="3C350180"/>
    <w:rsid w:val="3C9447FE"/>
    <w:rsid w:val="3CB27B7F"/>
    <w:rsid w:val="3D5E681B"/>
    <w:rsid w:val="3E971DB6"/>
    <w:rsid w:val="3EAE1333"/>
    <w:rsid w:val="40207544"/>
    <w:rsid w:val="4039711A"/>
    <w:rsid w:val="41EA767F"/>
    <w:rsid w:val="42C5372B"/>
    <w:rsid w:val="42F952C2"/>
    <w:rsid w:val="435033F0"/>
    <w:rsid w:val="44981A1A"/>
    <w:rsid w:val="451200B3"/>
    <w:rsid w:val="460D6897"/>
    <w:rsid w:val="47AF2AD7"/>
    <w:rsid w:val="49496DDF"/>
    <w:rsid w:val="49810C65"/>
    <w:rsid w:val="4BD82108"/>
    <w:rsid w:val="4C615739"/>
    <w:rsid w:val="4E2626A5"/>
    <w:rsid w:val="4E2C5712"/>
    <w:rsid w:val="4FBE9E45"/>
    <w:rsid w:val="508E0988"/>
    <w:rsid w:val="50BD5E1A"/>
    <w:rsid w:val="50CD6CD5"/>
    <w:rsid w:val="51281701"/>
    <w:rsid w:val="51DB6199"/>
    <w:rsid w:val="53446C55"/>
    <w:rsid w:val="56086DBD"/>
    <w:rsid w:val="56425A22"/>
    <w:rsid w:val="567A47C5"/>
    <w:rsid w:val="584D5EC8"/>
    <w:rsid w:val="59224657"/>
    <w:rsid w:val="593659D6"/>
    <w:rsid w:val="59907A40"/>
    <w:rsid w:val="59B142AA"/>
    <w:rsid w:val="5B380402"/>
    <w:rsid w:val="5B5E0D89"/>
    <w:rsid w:val="5B8A75CF"/>
    <w:rsid w:val="5C03111E"/>
    <w:rsid w:val="5C454A26"/>
    <w:rsid w:val="5D6D3F12"/>
    <w:rsid w:val="5D817942"/>
    <w:rsid w:val="5DC475F0"/>
    <w:rsid w:val="5DFD4AA2"/>
    <w:rsid w:val="5E1E6906"/>
    <w:rsid w:val="5E410E7A"/>
    <w:rsid w:val="5ED95286"/>
    <w:rsid w:val="5FC26101"/>
    <w:rsid w:val="60A46527"/>
    <w:rsid w:val="62393C54"/>
    <w:rsid w:val="62E247CC"/>
    <w:rsid w:val="63217256"/>
    <w:rsid w:val="648D0CE1"/>
    <w:rsid w:val="65BE4C71"/>
    <w:rsid w:val="67C67CD1"/>
    <w:rsid w:val="68DA55BD"/>
    <w:rsid w:val="69137A29"/>
    <w:rsid w:val="69545978"/>
    <w:rsid w:val="6AD24F09"/>
    <w:rsid w:val="6AF01E77"/>
    <w:rsid w:val="6B3B0481"/>
    <w:rsid w:val="6CE62940"/>
    <w:rsid w:val="6D512028"/>
    <w:rsid w:val="6DFF29E8"/>
    <w:rsid w:val="6FE2402A"/>
    <w:rsid w:val="6FF80097"/>
    <w:rsid w:val="702448C4"/>
    <w:rsid w:val="71D631AF"/>
    <w:rsid w:val="72B73991"/>
    <w:rsid w:val="748C7A82"/>
    <w:rsid w:val="75AD538A"/>
    <w:rsid w:val="76CB3F79"/>
    <w:rsid w:val="772D16F5"/>
    <w:rsid w:val="77704BDB"/>
    <w:rsid w:val="77745CF2"/>
    <w:rsid w:val="782C2288"/>
    <w:rsid w:val="782C5622"/>
    <w:rsid w:val="785415C7"/>
    <w:rsid w:val="78B639CE"/>
    <w:rsid w:val="796803D8"/>
    <w:rsid w:val="7A935AC6"/>
    <w:rsid w:val="7CCF0986"/>
    <w:rsid w:val="7D32167A"/>
    <w:rsid w:val="7E8B0487"/>
    <w:rsid w:val="7FEF188D"/>
    <w:rsid w:val="BD6B9D4D"/>
    <w:rsid w:val="F7DED237"/>
    <w:rsid w:val="FFC6FF77"/>
    <w:rsid w:val="FFFB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cs="Times New Roman"/>
      <w:szCs w:val="20"/>
    </w:r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color w:val="CC0000"/>
      <w:kern w:val="0"/>
      <w:sz w:val="24"/>
      <w:u w:val="single"/>
      <w:lang w:val="en-US" w:eastAsia="zh-CN" w:bidi="ar-SA"/>
    </w:rPr>
  </w:style>
  <w:style w:type="paragraph" w:styleId="7">
    <w:name w:val="Body Text First Indent 2"/>
    <w:basedOn w:val="3"/>
    <w:unhideWhenUsed/>
    <w:qFormat/>
    <w:uiPriority w:val="99"/>
    <w:pPr>
      <w:ind w:firstLine="420" w:firstLineChars="200"/>
    </w:pPr>
  </w:style>
  <w:style w:type="character" w:styleId="10">
    <w:name w:val="Hyperlink"/>
    <w:basedOn w:val="9"/>
    <w:qFormat/>
    <w:uiPriority w:val="0"/>
    <w:rPr>
      <w:color w:val="0000FF"/>
      <w:u w:val="single"/>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1120</Words>
  <Characters>1167</Characters>
  <Lines>0</Lines>
  <Paragraphs>0</Paragraphs>
  <TotalTime>11</TotalTime>
  <ScaleCrop>false</ScaleCrop>
  <LinksUpToDate>false</LinksUpToDate>
  <CharactersWithSpaces>1169</CharactersWithSpaces>
  <Application>WPS Office_11.8.2.12356_F1E327BC-269C-435d-A152-05C5408002CA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2021-11-10T14:11:00Z</dcterms:created>
  <dc:creator>anshenghui</dc:creator>
  <cp:lastModifiedBy>zzq</cp:lastModifiedBy>
  <cp:lastPrinted>2021-11-10T17:23:00Z</cp:lastPrinted>
  <dcterms:modified xsi:type="dcterms:W3CDTF">2025-08-04T09:05:59Z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2052-11.8.2.12356</vt:lpwstr>
  </property>
  <property fmtid="{D5CDD505-2E9C-101B-9397-08002B2CF9AE}" pid="3" name="ICV">
    <vt:lpwstr>59C52D3E5ED14B2AAC34DFF374B5170D</vt:lpwstr>
  </property>
</Properties>
</file>