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hint="eastAsia" w:ascii="CESI黑体-GB2312" w:hAnsi="CESI黑体-GB2312" w:eastAsia="CESI黑体-GB2312" w:cs="CESI黑体-GB2312"/>
          <w:color w:val="000000" w:themeColor="text1"/>
          <w:sz w:val="32"/>
          <w:szCs w:val="32"/>
          <w14:textFill>
            <w14:solidFill>
              <w14:schemeClr w14:val="tx1"/>
            </w14:solidFill>
          </w14:textFill>
        </w:rPr>
      </w:pPr>
      <w:r>
        <w:rPr>
          <w:rFonts w:hint="eastAsia" w:ascii="CESI黑体-GB2312" w:hAnsi="CESI黑体-GB2312" w:eastAsia="CESI黑体-GB2312" w:cs="CESI黑体-GB2312"/>
          <w:color w:val="000000" w:themeColor="text1"/>
          <w:sz w:val="32"/>
          <w:szCs w:val="32"/>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eastAsia="仿宋_GB2312"/>
          <w:b/>
          <w:color w:val="000000" w:themeColor="text1"/>
          <w:sz w:val="44"/>
          <w:szCs w:val="44"/>
          <w14:textFill>
            <w14:solidFill>
              <w14:schemeClr w14:val="tx1"/>
            </w14:solidFill>
          </w14:textFill>
        </w:rPr>
      </w:pPr>
      <w:r>
        <w:rPr>
          <w:rFonts w:hint="eastAsia" w:ascii="方正小标宋简体" w:hAnsi="黑体" w:eastAsia="方正小标宋简体"/>
          <w:bCs/>
          <w:color w:val="000000" w:themeColor="text1"/>
          <w:sz w:val="44"/>
          <w:szCs w:val="44"/>
          <w14:textFill>
            <w14:solidFill>
              <w14:schemeClr w14:val="tx1"/>
            </w14:solidFill>
          </w14:textFill>
        </w:rPr>
        <w:t>不合格项目说明</w:t>
      </w:r>
    </w:p>
    <w:p>
      <w:pPr>
        <w:pageBreakBefore w:val="0"/>
        <w:widowControl w:val="0"/>
        <w:kinsoku/>
        <w:wordWrap/>
        <w:overflowPunct/>
        <w:topLinePunct w:val="0"/>
        <w:autoSpaceDE/>
        <w:autoSpaceDN/>
        <w:bidi w:val="0"/>
        <w:adjustRightInd/>
        <w:snapToGrid/>
        <w:spacing w:line="578" w:lineRule="exact"/>
        <w:jc w:val="both"/>
        <w:textAlignment w:val="auto"/>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jc w:val="left"/>
        <w:textAlignment w:val="auto"/>
        <w:rPr>
          <w:rFonts w:hint="eastAsia"/>
        </w:rPr>
      </w:pPr>
      <w:r>
        <w:t>阴离子合成洗涤剂</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bCs/>
          <w:color w:val="000000" w:themeColor="text1"/>
          <w:sz w:val="32"/>
          <w:szCs w:val="32"/>
          <w14:textFill>
            <w14:solidFill>
              <w14:schemeClr w14:val="tx1"/>
            </w14:solidFill>
          </w14:textFill>
        </w:rPr>
      </w:pPr>
      <w:r>
        <w:rPr>
          <w:rFonts w:hint="eastAsia" w:ascii="CESI仿宋-GB2312" w:hAnsi="CESI仿宋-GB2312" w:eastAsia="CESI仿宋-GB2312" w:cs="CESI仿宋-GB2312"/>
          <w:bCs/>
          <w:color w:val="000000" w:themeColor="text1"/>
          <w:sz w:val="32"/>
          <w:szCs w:val="32"/>
          <w14:textFill>
            <w14:solidFill>
              <w14:schemeClr w14:val="tx1"/>
            </w14:solidFill>
          </w14:textFill>
        </w:rPr>
        <w:t>阴离子合成洗涤剂是我们日常生活中经常用到的洗衣粉、洗洁精、洗衣液、肥皂等洗涤剂的主要成分，其主要成分十二烷基苯磺酸钠，是一种低毒物质，因其使用方便、易溶解、稳定性好、成本低等优点，在消毒企业中广泛使用，但是如果餐具清洗消毒流程控制不当，会造成洗涤剂在餐具上的残留过量，对人体健康产生不良影响。《食品安全国家标准消毒餐（饮）具》（GB 14934-2016）规定，采用化学消毒法的餐（饮）具的阴离子合成洗涤剂应不得检出。造成阴离子合成洗涤剂超标的主要原因是洗涤剂或消毒剂未彻底冲洗干净。可能是由于使用了过量的洗涤剂、消毒剂或水冲洗不充分、不彻底造成。</w:t>
      </w:r>
    </w:p>
    <w:p>
      <w:pPr>
        <w:pageBreakBefore w:val="0"/>
        <w:widowControl w:val="0"/>
        <w:kinsoku/>
        <w:wordWrap/>
        <w:overflowPunct/>
        <w:topLinePunct w:val="0"/>
        <w:autoSpaceDE/>
        <w:autoSpaceDN/>
        <w:bidi w:val="0"/>
        <w:adjustRightInd/>
        <w:snapToGrid/>
        <w:spacing w:line="560" w:lineRule="exact"/>
        <w:ind w:firstLine="627" w:firstLineChars="196"/>
        <w:jc w:val="left"/>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毒死蜱</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bCs/>
          <w:color w:val="000000" w:themeColor="text1"/>
          <w:sz w:val="32"/>
          <w:szCs w:val="32"/>
          <w:lang w:val="en-US" w:eastAsia="zh-CN"/>
          <w14:textFill>
            <w14:solidFill>
              <w14:schemeClr w14:val="tx1"/>
            </w14:solidFill>
          </w14:textFill>
        </w:rPr>
      </w:pPr>
      <w:r>
        <w:rPr>
          <w:rFonts w:hint="default" w:ascii="CESI仿宋-GB2312" w:hAnsi="CESI仿宋-GB2312" w:eastAsia="CESI仿宋-GB2312" w:cs="CESI仿宋-GB2312"/>
          <w:bCs/>
          <w:color w:val="000000" w:themeColor="text1"/>
          <w:sz w:val="32"/>
          <w:szCs w:val="32"/>
          <w:lang w:val="en-US" w:eastAsia="zh-CN"/>
          <w14:textFill>
            <w14:solidFill>
              <w14:schemeClr w14:val="tx1"/>
            </w14:solidFill>
          </w14:textFill>
        </w:rPr>
        <w:t>毒死蜱有机磷杀虫剂，具有胃毒、触杀、熏蒸三重作用，是粮食、果树、蔬菜和其他经济作物的理想杀虫剂，在叶片上的残留期不长，但在土壤中的残留期较长，对鱼类及水生生物毒性较高，对水稻、小麦、棉花、果树、蔬菜、茶树上多种咀嚼式和刺吸式口器害虫均具有较好防效，属于中等毒性药物。《食品安全国家标准  食品中农药最大残留限量》（GB2763-2021）中规定，</w:t>
      </w:r>
      <w:r>
        <w:rPr>
          <w:rFonts w:hint="eastAsia" w:ascii="CESI仿宋-GB2312" w:hAnsi="CESI仿宋-GB2312" w:eastAsia="CESI仿宋-GB2312" w:cs="CESI仿宋-GB2312"/>
          <w:bCs/>
          <w:color w:val="000000" w:themeColor="text1"/>
          <w:sz w:val="32"/>
          <w:szCs w:val="32"/>
          <w:lang w:val="en-US" w:eastAsia="zh-CN"/>
          <w14:textFill>
            <w14:solidFill>
              <w14:schemeClr w14:val="tx1"/>
            </w14:solidFill>
          </w14:textFill>
        </w:rPr>
        <w:t>毒死蜱</w:t>
      </w:r>
      <w:r>
        <w:rPr>
          <w:rFonts w:hint="default" w:ascii="CESI仿宋-GB2312" w:hAnsi="CESI仿宋-GB2312" w:eastAsia="CESI仿宋-GB2312" w:cs="CESI仿宋-GB2312"/>
          <w:bCs/>
          <w:color w:val="000000" w:themeColor="text1"/>
          <w:sz w:val="32"/>
          <w:szCs w:val="32"/>
          <w:lang w:val="en-US" w:eastAsia="zh-CN"/>
          <w14:textFill>
            <w14:solidFill>
              <w14:schemeClr w14:val="tx1"/>
            </w14:solidFill>
          </w14:textFill>
        </w:rPr>
        <w:t>在</w:t>
      </w:r>
      <w:r>
        <w:rPr>
          <w:rFonts w:hint="eastAsia" w:ascii="CESI仿宋-GB2312" w:hAnsi="CESI仿宋-GB2312" w:eastAsia="CESI仿宋-GB2312" w:cs="CESI仿宋-GB2312"/>
          <w:bCs/>
          <w:color w:val="000000" w:themeColor="text1"/>
          <w:sz w:val="32"/>
          <w:szCs w:val="32"/>
          <w:lang w:val="en-US" w:eastAsia="zh-CN"/>
          <w14:textFill>
            <w14:solidFill>
              <w14:schemeClr w14:val="tx1"/>
            </w14:solidFill>
          </w14:textFill>
        </w:rPr>
        <w:t>马铃薯</w:t>
      </w:r>
      <w:r>
        <w:rPr>
          <w:rFonts w:hint="default" w:ascii="CESI仿宋-GB2312" w:hAnsi="CESI仿宋-GB2312" w:eastAsia="CESI仿宋-GB2312" w:cs="CESI仿宋-GB2312"/>
          <w:bCs/>
          <w:color w:val="000000" w:themeColor="text1"/>
          <w:sz w:val="32"/>
          <w:szCs w:val="32"/>
          <w:lang w:val="en-US" w:eastAsia="zh-CN"/>
          <w14:textFill>
            <w14:solidFill>
              <w14:schemeClr w14:val="tx1"/>
            </w14:solidFill>
          </w14:textFill>
        </w:rPr>
        <w:t>中的最大残留限量值为0.</w:t>
      </w:r>
      <w:r>
        <w:rPr>
          <w:rFonts w:hint="eastAsia" w:ascii="CESI仿宋-GB2312" w:hAnsi="CESI仿宋-GB2312" w:eastAsia="CESI仿宋-GB2312" w:cs="CESI仿宋-GB2312"/>
          <w:bCs/>
          <w:color w:val="000000" w:themeColor="text1"/>
          <w:sz w:val="32"/>
          <w:szCs w:val="32"/>
          <w:lang w:val="en-US" w:eastAsia="zh-CN"/>
          <w14:textFill>
            <w14:solidFill>
              <w14:schemeClr w14:val="tx1"/>
            </w14:solidFill>
          </w14:textFill>
        </w:rPr>
        <w:t>02</w:t>
      </w:r>
      <w:r>
        <w:rPr>
          <w:rFonts w:hint="default" w:ascii="CESI仿宋-GB2312" w:hAnsi="CESI仿宋-GB2312" w:eastAsia="CESI仿宋-GB2312" w:cs="CESI仿宋-GB2312"/>
          <w:bCs/>
          <w:color w:val="000000" w:themeColor="text1"/>
          <w:sz w:val="32"/>
          <w:szCs w:val="32"/>
          <w:lang w:val="en-US" w:eastAsia="zh-CN"/>
          <w14:textFill>
            <w14:solidFill>
              <w14:schemeClr w14:val="tx1"/>
            </w14:solidFill>
          </w14:textFill>
        </w:rPr>
        <w:t>mg/kg。水果、蔬菜中毒死蜱超标主要是未严格按照农药使用安全间隔期进行采摘。毒死蜱可经吸入、食入、皮肤接触吸收，此农药中毒表现为抽搐、痉挛、恶心、呕吐等，长期暴露在含有毒死蜱的环境中，可能会导致神经毒性、生殖毒性，影响胚胎的生长发育。少量的农药残留不会引起人体急性中毒，但长期食用农</w:t>
      </w:r>
      <w:bookmarkStart w:id="0" w:name="_GoBack"/>
      <w:bookmarkEnd w:id="0"/>
      <w:r>
        <w:rPr>
          <w:rFonts w:hint="default" w:ascii="CESI仿宋-GB2312" w:hAnsi="CESI仿宋-GB2312" w:eastAsia="CESI仿宋-GB2312" w:cs="CESI仿宋-GB2312"/>
          <w:bCs/>
          <w:color w:val="000000" w:themeColor="text1"/>
          <w:sz w:val="32"/>
          <w:szCs w:val="32"/>
          <w:lang w:val="en-US" w:eastAsia="zh-CN"/>
          <w14:textFill>
            <w14:solidFill>
              <w14:schemeClr w14:val="tx1"/>
            </w14:solidFill>
          </w14:textFill>
        </w:rPr>
        <w:t>药残留超标的食品，对人体健康有一定影响。</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bCs/>
          <w:color w:val="000000" w:themeColor="text1"/>
          <w:sz w:val="32"/>
          <w:szCs w:val="32"/>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0F"/>
    <w:rsid w:val="00281629"/>
    <w:rsid w:val="00462282"/>
    <w:rsid w:val="00E85F0F"/>
    <w:rsid w:val="59BFADFA"/>
    <w:rsid w:val="6C59124A"/>
    <w:rsid w:val="7FEC409B"/>
    <w:rsid w:val="FFDFB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50" w:beforeLines="50" w:after="50" w:afterLines="50" w:line="360" w:lineRule="auto"/>
      <w:ind w:firstLine="200" w:firstLineChars="200"/>
      <w:jc w:val="left"/>
      <w:outlineLvl w:val="3"/>
    </w:pPr>
    <w:rPr>
      <w:rFonts w:ascii="黑体" w:hAnsi="黑体" w:eastAsia="黑体" w:cstheme="majorBidi"/>
      <w:bCs/>
      <w:sz w:val="32"/>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258</Words>
  <Characters>267</Characters>
  <Lines>1</Lines>
  <Paragraphs>1</Paragraphs>
  <TotalTime>1</TotalTime>
  <ScaleCrop>false</ScaleCrop>
  <LinksUpToDate>false</LinksUpToDate>
  <CharactersWithSpaces>267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2019-10-15T02:27:00Z</dcterms:created>
  <dc:creator>user</dc:creator>
  <cp:lastModifiedBy>user</cp:lastModifiedBy>
  <dcterms:modified xsi:type="dcterms:W3CDTF">2025-07-22T10:07:55Z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eyJoZGlkIjoiYTYyZDRiNjk2ZWYwNGM2MzRjZTY0YTA5ZjdiNTlkYTUiLCJ1c2VySWQiOiIzNTE1OTMzNDgifQ==</vt:lpwstr>
  </property>
  <property fmtid="{D5CDD505-2E9C-101B-9397-08002B2CF9AE}" pid="3" name="KSOProductBuildVer">
    <vt:lpwstr>2052-11.8.2.1131</vt:lpwstr>
  </property>
  <property fmtid="{D5CDD505-2E9C-101B-9397-08002B2CF9AE}" pid="4" name="ICV">
    <vt:lpwstr>A186446D657948F1BF14436B7A705833_12</vt:lpwstr>
  </property>
</Properties>
</file>