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eastAsia="黑体"/>
          <w:bCs/>
          <w:color w:val="000000"/>
          <w:sz w:val="52"/>
          <w:szCs w:val="52"/>
        </w:rPr>
      </w:pPr>
      <w:r>
        <w:rPr>
          <w:rFonts w:hint="eastAsia" w:eastAsia="黑体"/>
          <w:bCs/>
          <w:color w:val="000000"/>
          <w:spacing w:val="26"/>
          <w:kern w:val="0"/>
          <w:sz w:val="52"/>
          <w:szCs w:val="52"/>
          <w:fitText w:val="5678" w:id="0"/>
        </w:rPr>
        <w:t>国家市场监督管理总</w:t>
      </w:r>
      <w:r>
        <w:rPr>
          <w:rFonts w:hint="eastAsia" w:eastAsia="黑体"/>
          <w:bCs/>
          <w:color w:val="000000"/>
          <w:spacing w:val="5"/>
          <w:kern w:val="0"/>
          <w:sz w:val="52"/>
          <w:szCs w:val="52"/>
          <w:fitText w:val="5678" w:id="0"/>
        </w:rPr>
        <w:t>局</w:t>
      </w:r>
    </w:p>
    <w:p>
      <w:pPr>
        <w:spacing w:line="594" w:lineRule="exact"/>
        <w:jc w:val="center"/>
        <w:rPr>
          <w:rFonts w:eastAsia="仿宋_GB2312"/>
          <w:color w:val="000000"/>
          <w:sz w:val="44"/>
          <w:szCs w:val="44"/>
        </w:rPr>
      </w:pPr>
      <w:r>
        <w:rPr>
          <w:rFonts w:hint="eastAsia" w:eastAsia="黑体"/>
          <w:bCs/>
          <w:color w:val="000000"/>
          <w:spacing w:val="175"/>
          <w:kern w:val="0"/>
          <w:sz w:val="52"/>
          <w:szCs w:val="52"/>
          <w:fitText w:val="5742" w:id="1"/>
        </w:rPr>
        <w:t>行政处罚决定</w:t>
      </w:r>
      <w:r>
        <w:rPr>
          <w:rFonts w:hint="eastAsia" w:eastAsia="黑体"/>
          <w:bCs/>
          <w:color w:val="000000"/>
          <w:spacing w:val="1"/>
          <w:kern w:val="0"/>
          <w:sz w:val="52"/>
          <w:szCs w:val="52"/>
          <w:fitText w:val="5742" w:id="1"/>
        </w:rPr>
        <w:t>书</w:t>
      </w:r>
    </w:p>
    <w:p>
      <w:pPr>
        <w:spacing w:line="594" w:lineRule="exact"/>
        <w:jc w:val="center"/>
        <w:rPr>
          <w:rFonts w:eastAsia="仿宋_GB2312"/>
          <w:sz w:val="32"/>
          <w:szCs w:val="32"/>
        </w:rPr>
      </w:pPr>
      <w:r>
        <w:rPr>
          <w:rFonts w:hint="eastAsia" w:eastAsia="仿宋_GB2312"/>
          <w:sz w:val="32"/>
          <w:szCs w:val="32"/>
        </w:rPr>
        <w:t>国市监处〔2021〕</w:t>
      </w:r>
      <w:r>
        <w:rPr>
          <w:rFonts w:hint="eastAsia" w:eastAsia="仿宋_GB2312"/>
          <w:sz w:val="32"/>
          <w:szCs w:val="32"/>
          <w:lang w:val="en-US" w:eastAsia="zh-CN"/>
        </w:rPr>
        <w:t>2</w:t>
      </w:r>
      <w:r>
        <w:rPr>
          <w:rFonts w:hint="eastAsia" w:eastAsia="仿宋_GB2312"/>
          <w:sz w:val="32"/>
          <w:szCs w:val="32"/>
        </w:rPr>
        <w:t>号</w:t>
      </w:r>
    </w:p>
    <w:p>
      <w:pPr>
        <w:spacing w:line="594" w:lineRule="exact"/>
        <w:jc w:val="center"/>
        <w:rPr>
          <w:rFonts w:eastAsia="仿宋_GB2312"/>
          <w:sz w:val="28"/>
          <w:szCs w:val="28"/>
        </w:rPr>
      </w:pPr>
    </w:p>
    <w:p>
      <w:pPr>
        <w:suppressAutoHyphens/>
        <w:overflowPunct w:val="0"/>
        <w:autoSpaceDE w:val="0"/>
        <w:autoSpaceDN w:val="0"/>
        <w:adjustRightInd w:val="0"/>
        <w:spacing w:line="594" w:lineRule="exact"/>
        <w:ind w:firstLine="625" w:firstLineChars="199"/>
        <w:rPr>
          <w:rFonts w:eastAsia="仿宋_GB2312"/>
          <w:sz w:val="32"/>
          <w:szCs w:val="32"/>
        </w:rPr>
      </w:pPr>
      <w:r>
        <w:rPr>
          <w:rFonts w:hint="eastAsia" w:eastAsia="仿宋_GB2312"/>
          <w:sz w:val="32"/>
          <w:szCs w:val="32"/>
        </w:rPr>
        <w:t>当事人：</w:t>
      </w:r>
      <w:r>
        <w:rPr>
          <w:rFonts w:eastAsia="仿宋_GB2312"/>
          <w:sz w:val="32"/>
          <w:szCs w:val="32"/>
        </w:rPr>
        <w:t>珠海华发物业管理服务有限公司</w:t>
      </w:r>
    </w:p>
    <w:p>
      <w:pPr>
        <w:suppressAutoHyphens/>
        <w:overflowPunct w:val="0"/>
        <w:autoSpaceDE w:val="0"/>
        <w:autoSpaceDN w:val="0"/>
        <w:adjustRightInd w:val="0"/>
        <w:spacing w:line="594" w:lineRule="exact"/>
        <w:ind w:firstLine="625" w:firstLineChars="199"/>
        <w:rPr>
          <w:rFonts w:hint="eastAsia"/>
        </w:rPr>
      </w:pPr>
      <w:r>
        <w:rPr>
          <w:rFonts w:hint="eastAsia" w:eastAsia="仿宋_GB2312"/>
          <w:sz w:val="32"/>
          <w:szCs w:val="32"/>
        </w:rPr>
        <w:t>住  所：珠海市香洲区屏湾一路199号南湾公交首末站（办公楼）</w:t>
      </w:r>
    </w:p>
    <w:p>
      <w:pPr>
        <w:pStyle w:val="2"/>
        <w:ind w:firstLine="625" w:firstLineChars="199"/>
        <w:rPr>
          <w:rFonts w:hint="eastAsia" w:ascii="Times New Roman" w:hAnsi="Times New Roman" w:eastAsia="仿宋_GB2312"/>
          <w:sz w:val="32"/>
          <w:szCs w:val="32"/>
        </w:rPr>
      </w:pPr>
      <w:r>
        <w:rPr>
          <w:rFonts w:hint="eastAsia" w:ascii="Times New Roman" w:hAnsi="Times New Roman" w:eastAsia="仿宋_GB2312"/>
          <w:sz w:val="32"/>
          <w:szCs w:val="32"/>
        </w:rPr>
        <w:t>当事人：</w:t>
      </w:r>
      <w:r>
        <w:rPr>
          <w:rFonts w:ascii="Times New Roman" w:hAnsi="Times New Roman" w:eastAsia="仿宋_GB2312"/>
          <w:sz w:val="32"/>
          <w:szCs w:val="32"/>
        </w:rPr>
        <w:t>北京仲量联行物业管理服务有限公司</w:t>
      </w:r>
    </w:p>
    <w:p>
      <w:pPr>
        <w:pStyle w:val="2"/>
        <w:ind w:firstLine="625" w:firstLineChars="199"/>
        <w:rPr>
          <w:rFonts w:ascii="Times New Roman" w:hAnsi="Times New Roman" w:eastAsia="仿宋_GB2312"/>
          <w:sz w:val="32"/>
          <w:szCs w:val="32"/>
        </w:rPr>
      </w:pPr>
      <w:r>
        <w:rPr>
          <w:rFonts w:hint="eastAsia" w:ascii="Times New Roman" w:hAnsi="Times New Roman" w:eastAsia="仿宋_GB2312"/>
          <w:sz w:val="32"/>
          <w:szCs w:val="32"/>
        </w:rPr>
        <w:t>住  所：北京市朝阳区建国门外大街1号国贸大厦11层18单元 </w:t>
      </w:r>
    </w:p>
    <w:p>
      <w:pPr>
        <w:suppressAutoHyphens/>
        <w:overflowPunct w:val="0"/>
        <w:autoSpaceDE w:val="0"/>
        <w:autoSpaceDN w:val="0"/>
        <w:adjustRightInd w:val="0"/>
        <w:spacing w:line="594" w:lineRule="exact"/>
        <w:ind w:firstLine="408" w:firstLineChars="200"/>
      </w:pPr>
    </w:p>
    <w:p>
      <w:pPr>
        <w:spacing w:line="600" w:lineRule="exact"/>
        <w:ind w:firstLine="628" w:firstLineChars="200"/>
        <w:rPr>
          <w:rFonts w:eastAsia="仿宋_GB2312"/>
          <w:sz w:val="32"/>
          <w:szCs w:val="32"/>
        </w:rPr>
      </w:pPr>
      <w:r>
        <w:rPr>
          <w:rFonts w:hint="eastAsia" w:eastAsia="仿宋_GB2312"/>
          <w:sz w:val="32"/>
          <w:szCs w:val="32"/>
        </w:rPr>
        <w:t>根据《反垄断法》，本机关于2020年</w:t>
      </w:r>
      <w:r>
        <w:rPr>
          <w:rFonts w:hint="eastAsia" w:eastAsia="仿宋_GB2312"/>
          <w:sz w:val="32"/>
        </w:rPr>
        <w:t>6</w:t>
      </w:r>
      <w:r>
        <w:rPr>
          <w:rFonts w:eastAsia="仿宋_GB2312"/>
          <w:sz w:val="32"/>
        </w:rPr>
        <w:t>月</w:t>
      </w:r>
      <w:r>
        <w:rPr>
          <w:rFonts w:hint="eastAsia" w:eastAsia="仿宋_GB2312"/>
          <w:sz w:val="32"/>
        </w:rPr>
        <w:t>4</w:t>
      </w:r>
      <w:r>
        <w:rPr>
          <w:rFonts w:eastAsia="仿宋_GB2312"/>
          <w:sz w:val="32"/>
        </w:rPr>
        <w:t>日</w:t>
      </w:r>
      <w:r>
        <w:rPr>
          <w:rFonts w:eastAsia="仿宋_GB2312"/>
          <w:sz w:val="32"/>
          <w:szCs w:val="32"/>
        </w:rPr>
        <w:t>对珠海华发物业管理服务有限公司(以下简称华发物业)与北京仲量联行物业管理服务有限公司（以下简称仲量联行）设立合营企业珠海华发仲量联行物业服务有限公司（以下简称华发仲量联行）未依法申报违法实施经营者集中案进行立案调查。</w:t>
      </w:r>
    </w:p>
    <w:p>
      <w:pPr>
        <w:suppressAutoHyphens/>
        <w:overflowPunct w:val="0"/>
        <w:autoSpaceDE w:val="0"/>
        <w:autoSpaceDN w:val="0"/>
        <w:adjustRightInd w:val="0"/>
        <w:spacing w:line="594" w:lineRule="exact"/>
        <w:ind w:firstLine="628" w:firstLineChars="200"/>
        <w:rPr>
          <w:rFonts w:eastAsia="仿宋_GB2312"/>
          <w:sz w:val="32"/>
          <w:szCs w:val="32"/>
        </w:rPr>
      </w:pPr>
      <w:r>
        <w:rPr>
          <w:rFonts w:hint="eastAsia" w:eastAsia="仿宋_GB2312"/>
          <w:sz w:val="32"/>
          <w:szCs w:val="32"/>
        </w:rPr>
        <w:t>经查，该案构成未依法申报违法实施的经营者集中，但不具有排除、限制竞争的效果。本机关按照《行政处罚法》的规定，向</w:t>
      </w:r>
      <w:r>
        <w:rPr>
          <w:rFonts w:hint="eastAsia" w:eastAsia="仿宋_GB2312"/>
          <w:sz w:val="32"/>
        </w:rPr>
        <w:t>华发物业和仲量联行</w:t>
      </w:r>
      <w:r>
        <w:rPr>
          <w:rFonts w:hint="eastAsia" w:eastAsia="仿宋_GB2312"/>
          <w:sz w:val="32"/>
          <w:szCs w:val="32"/>
        </w:rPr>
        <w:t>送达了《行政处罚告知书》，告知其拟作出行政处罚决定的事实、理由、证据、处罚内容，以及其依法享有的陈述权、申辩权和要求听证权。</w:t>
      </w:r>
      <w:r>
        <w:rPr>
          <w:rFonts w:hint="eastAsia" w:eastAsia="仿宋_GB2312"/>
          <w:sz w:val="32"/>
        </w:rPr>
        <w:t>华发物业和仲量联行</w:t>
      </w:r>
      <w:r>
        <w:rPr>
          <w:rFonts w:hint="eastAsia" w:eastAsia="仿宋_GB2312"/>
          <w:sz w:val="32"/>
          <w:szCs w:val="32"/>
        </w:rPr>
        <w:t>在规定期限内没有提出陈述、申辩意见或要求举行听证。本案现已调查、审理终结。</w:t>
      </w:r>
    </w:p>
    <w:p>
      <w:pPr>
        <w:suppressAutoHyphens/>
        <w:overflowPunct w:val="0"/>
        <w:autoSpaceDE w:val="0"/>
        <w:autoSpaceDN w:val="0"/>
        <w:adjustRightInd w:val="0"/>
        <w:spacing w:line="600" w:lineRule="exact"/>
        <w:ind w:firstLine="628" w:firstLineChars="200"/>
        <w:rPr>
          <w:rFonts w:eastAsia="黑体"/>
          <w:bCs/>
          <w:sz w:val="32"/>
          <w:szCs w:val="32"/>
        </w:rPr>
      </w:pPr>
      <w:r>
        <w:rPr>
          <w:rFonts w:eastAsia="黑体"/>
          <w:bCs/>
          <w:sz w:val="32"/>
          <w:szCs w:val="32"/>
        </w:rPr>
        <w:t>一、基本情况</w:t>
      </w:r>
    </w:p>
    <w:p>
      <w:pPr>
        <w:pStyle w:val="10"/>
        <w:spacing w:line="600" w:lineRule="exact"/>
        <w:ind w:firstLine="627"/>
        <w:rPr>
          <w:rFonts w:ascii="Times New Roman" w:hAnsi="Times New Roman" w:eastAsia="楷体_GB2312"/>
          <w:b/>
        </w:rPr>
      </w:pPr>
      <w:r>
        <w:rPr>
          <w:rFonts w:ascii="Times New Roman" w:hAnsi="Times New Roman" w:eastAsia="楷体_GB2312"/>
          <w:b/>
        </w:rPr>
        <w:t>（一）交易方。</w:t>
      </w:r>
    </w:p>
    <w:p>
      <w:pPr>
        <w:pStyle w:val="10"/>
        <w:spacing w:line="600" w:lineRule="exact"/>
        <w:ind w:firstLine="627"/>
        <w:rPr>
          <w:rFonts w:ascii="Times New Roman" w:hAnsi="Times New Roman"/>
        </w:rPr>
      </w:pPr>
      <w:r>
        <w:rPr>
          <w:rFonts w:ascii="Times New Roman" w:hAnsi="Times New Roman"/>
          <w:b/>
          <w:bCs/>
        </w:rPr>
        <w:t>合营方一：华发物业。</w:t>
      </w:r>
      <w:r>
        <w:rPr>
          <w:rFonts w:ascii="Times New Roman" w:hAnsi="Times New Roman"/>
        </w:rPr>
        <w:t>1985年9月在广东珠海注册成立，主营业务包括物业管理、物业代理、物业租赁、物业管理顾问等，最终控制人为</w:t>
      </w:r>
      <w:r>
        <w:rPr>
          <w:rFonts w:hint="eastAsia" w:ascii="Times New Roman" w:hAnsi="Times New Roman"/>
          <w:lang w:eastAsia="zh-CN"/>
        </w:rPr>
        <w:t>珠海华发集团有限公司</w:t>
      </w:r>
      <w:r>
        <w:rPr>
          <w:rFonts w:ascii="Times New Roman" w:hAnsi="Times New Roman"/>
        </w:rPr>
        <w:t>。2018年全球营业额</w:t>
      </w:r>
      <w:r>
        <w:rPr>
          <w:rFonts w:hint="eastAsia" w:ascii="Times New Roman" w:hAnsi="Times New Roman"/>
          <w:lang w:eastAsia="zh-CN"/>
        </w:rPr>
        <w:t>（略）</w:t>
      </w:r>
      <w:r>
        <w:rPr>
          <w:rFonts w:ascii="Times New Roman" w:hAnsi="Times New Roman"/>
        </w:rPr>
        <w:t>，中国境内营业额</w:t>
      </w:r>
      <w:r>
        <w:rPr>
          <w:rFonts w:hint="eastAsia" w:ascii="Times New Roman" w:hAnsi="Times New Roman"/>
          <w:lang w:eastAsia="zh-CN"/>
        </w:rPr>
        <w:t>（略）</w:t>
      </w:r>
      <w:r>
        <w:rPr>
          <w:rFonts w:ascii="Times New Roman" w:hAnsi="Times New Roman"/>
        </w:rPr>
        <w:t>。</w:t>
      </w:r>
    </w:p>
    <w:p>
      <w:pPr>
        <w:pStyle w:val="10"/>
        <w:spacing w:line="600" w:lineRule="exact"/>
        <w:ind w:firstLine="627"/>
        <w:rPr>
          <w:rFonts w:ascii="Times New Roman" w:hAnsi="Times New Roman"/>
        </w:rPr>
      </w:pPr>
      <w:r>
        <w:rPr>
          <w:rFonts w:ascii="Times New Roman" w:hAnsi="Times New Roman"/>
          <w:b/>
          <w:bCs/>
        </w:rPr>
        <w:t>合营方二：仲量联行。</w:t>
      </w:r>
      <w:r>
        <w:rPr>
          <w:rFonts w:ascii="Times New Roman" w:hAnsi="Times New Roman"/>
        </w:rPr>
        <w:t>1997年10月在北京注册成立北京仲量行物业管理服务有限公司，1999年6月更名为仲量联行，主营业务包括承接和接受委托管理经营物业等，最终控制人为仲量联行股份有限公司(Jones Lang Lasalle Incorporated)。2018年全球营业额</w:t>
      </w:r>
      <w:r>
        <w:rPr>
          <w:rFonts w:hint="eastAsia" w:ascii="Times New Roman" w:hAnsi="Times New Roman"/>
          <w:lang w:eastAsia="zh-CN"/>
        </w:rPr>
        <w:t>（略）</w:t>
      </w:r>
      <w:r>
        <w:rPr>
          <w:rFonts w:ascii="Times New Roman" w:hAnsi="Times New Roman"/>
        </w:rPr>
        <w:t>，中国境内营业额</w:t>
      </w:r>
      <w:r>
        <w:rPr>
          <w:rFonts w:hint="eastAsia" w:ascii="Times New Roman" w:hAnsi="Times New Roman"/>
          <w:lang w:eastAsia="zh-CN"/>
        </w:rPr>
        <w:t>（略）</w:t>
      </w:r>
      <w:r>
        <w:rPr>
          <w:rFonts w:ascii="Times New Roman" w:hAnsi="Times New Roman"/>
        </w:rPr>
        <w:t>。</w:t>
      </w:r>
    </w:p>
    <w:p>
      <w:pPr>
        <w:pStyle w:val="10"/>
        <w:numPr>
          <w:ilvl w:val="0"/>
          <w:numId w:val="1"/>
        </w:numPr>
        <w:spacing w:line="600" w:lineRule="exact"/>
        <w:ind w:firstLine="627"/>
        <w:rPr>
          <w:rFonts w:ascii="Times New Roman" w:hAnsi="Times New Roman" w:eastAsia="楷体_GB2312"/>
          <w:b/>
        </w:rPr>
      </w:pPr>
      <w:r>
        <w:rPr>
          <w:rFonts w:ascii="Times New Roman" w:hAnsi="Times New Roman" w:eastAsia="楷体_GB2312"/>
          <w:b/>
        </w:rPr>
        <w:t>交易概况。</w:t>
      </w:r>
    </w:p>
    <w:p>
      <w:pPr>
        <w:spacing w:line="600" w:lineRule="exact"/>
        <w:ind w:firstLine="628" w:firstLineChars="200"/>
        <w:rPr>
          <w:rFonts w:hint="eastAsia" w:eastAsia="黑体"/>
          <w:bCs/>
          <w:sz w:val="32"/>
          <w:szCs w:val="32"/>
        </w:rPr>
      </w:pPr>
      <w:r>
        <w:rPr>
          <w:rFonts w:eastAsia="仿宋_GB2312"/>
          <w:sz w:val="32"/>
          <w:szCs w:val="32"/>
        </w:rPr>
        <w:t>2019年8月16日，华发物业与仲量联行签署股东协议书，共同出资设立华发仲量联行</w:t>
      </w:r>
      <w:r>
        <w:rPr>
          <w:rFonts w:hint="eastAsia" w:eastAsia="仿宋_GB2312"/>
          <w:sz w:val="32"/>
          <w:szCs w:val="32"/>
          <w:lang w:eastAsia="zh-CN"/>
        </w:rPr>
        <w:t>。其中</w:t>
      </w:r>
      <w:r>
        <w:rPr>
          <w:rFonts w:eastAsia="仿宋_GB2312"/>
          <w:sz w:val="32"/>
          <w:szCs w:val="32"/>
        </w:rPr>
        <w:t>华发物业出资30万元，持有合营企业60%股权；仲量联行出资20万元，持有合营企业40%股权。新设合营企业华发仲量联行于2019年9月2日完成工商登记。</w:t>
      </w:r>
    </w:p>
    <w:p>
      <w:pPr>
        <w:suppressAutoHyphens/>
        <w:overflowPunct w:val="0"/>
        <w:autoSpaceDE w:val="0"/>
        <w:autoSpaceDN w:val="0"/>
        <w:adjustRightInd w:val="0"/>
        <w:spacing w:line="594" w:lineRule="exact"/>
        <w:ind w:firstLine="628" w:firstLineChars="200"/>
        <w:rPr>
          <w:rFonts w:hint="eastAsia" w:ascii="黑体" w:hAnsi="黑体" w:eastAsia="黑体"/>
          <w:sz w:val="32"/>
          <w:szCs w:val="32"/>
        </w:rPr>
      </w:pPr>
      <w:r>
        <w:rPr>
          <w:rFonts w:hint="eastAsia" w:ascii="黑体" w:hAnsi="黑体" w:eastAsia="黑体"/>
          <w:sz w:val="32"/>
          <w:szCs w:val="32"/>
        </w:rPr>
        <w:t>二、违法事实及理由</w:t>
      </w:r>
    </w:p>
    <w:p>
      <w:pPr>
        <w:spacing w:line="600" w:lineRule="exact"/>
        <w:ind w:firstLine="628" w:firstLineChars="200"/>
        <w:outlineLvl w:val="0"/>
        <w:rPr>
          <w:rFonts w:eastAsia="楷体_GB2312"/>
          <w:b/>
          <w:bCs/>
          <w:sz w:val="32"/>
          <w:szCs w:val="32"/>
        </w:rPr>
      </w:pPr>
      <w:r>
        <w:rPr>
          <w:rFonts w:eastAsia="楷体_GB2312"/>
          <w:b/>
          <w:bCs/>
          <w:sz w:val="32"/>
          <w:szCs w:val="32"/>
        </w:rPr>
        <w:t>（一）本案构成未依法申报违法实施的经营者集中。</w:t>
      </w:r>
    </w:p>
    <w:p>
      <w:pPr>
        <w:spacing w:line="600" w:lineRule="exact"/>
        <w:ind w:firstLine="628" w:firstLineChars="200"/>
        <w:rPr>
          <w:rFonts w:eastAsia="仿宋_GB2312"/>
          <w:sz w:val="32"/>
          <w:szCs w:val="32"/>
        </w:rPr>
      </w:pPr>
      <w:r>
        <w:rPr>
          <w:rFonts w:eastAsia="仿宋_GB2312"/>
          <w:sz w:val="32"/>
          <w:szCs w:val="32"/>
        </w:rPr>
        <w:t>根据《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该交易系设立合营企业，华发物业持有合营企业60%的股权，仲量联行持有合营企业40%的股权，双方共同控制合营企业，属于《反垄断法》第二十条规定的经营者集中。</w:t>
      </w:r>
    </w:p>
    <w:p>
      <w:pPr>
        <w:pStyle w:val="10"/>
        <w:spacing w:line="600" w:lineRule="exact"/>
        <w:ind w:firstLine="627"/>
        <w:rPr>
          <w:rFonts w:ascii="Times New Roman" w:hAnsi="Times New Roman"/>
        </w:rPr>
      </w:pPr>
      <w:r>
        <w:rPr>
          <w:rFonts w:ascii="Times New Roman" w:hAnsi="Times New Roman"/>
          <w:color w:val="000000"/>
        </w:rPr>
        <w:t>华发物业2018年全球营业额</w:t>
      </w:r>
      <w:r>
        <w:rPr>
          <w:rFonts w:hint="eastAsia" w:ascii="Times New Roman" w:hAnsi="Times New Roman"/>
          <w:lang w:eastAsia="zh-CN"/>
        </w:rPr>
        <w:t>（略）</w:t>
      </w:r>
      <w:r>
        <w:rPr>
          <w:rFonts w:ascii="Times New Roman" w:hAnsi="Times New Roman"/>
          <w:color w:val="000000"/>
        </w:rPr>
        <w:t>，中国境内营业额</w:t>
      </w:r>
      <w:r>
        <w:rPr>
          <w:rFonts w:hint="eastAsia" w:ascii="Times New Roman" w:hAnsi="Times New Roman"/>
          <w:lang w:eastAsia="zh-CN"/>
        </w:rPr>
        <w:t>（略）</w:t>
      </w:r>
      <w:r>
        <w:rPr>
          <w:rFonts w:ascii="Times New Roman" w:hAnsi="Times New Roman"/>
          <w:color w:val="000000"/>
        </w:rPr>
        <w:t>；</w:t>
      </w:r>
      <w:r>
        <w:rPr>
          <w:rFonts w:ascii="Times New Roman" w:hAnsi="Times New Roman"/>
        </w:rPr>
        <w:t>仲量联行</w:t>
      </w:r>
      <w:r>
        <w:rPr>
          <w:rFonts w:ascii="Times New Roman" w:hAnsi="Times New Roman"/>
          <w:color w:val="000000"/>
        </w:rPr>
        <w:t>2018年全球营业额</w:t>
      </w:r>
      <w:r>
        <w:rPr>
          <w:rFonts w:hint="eastAsia" w:ascii="Times New Roman" w:hAnsi="Times New Roman"/>
          <w:lang w:eastAsia="zh-CN"/>
        </w:rPr>
        <w:t>（略）</w:t>
      </w:r>
      <w:r>
        <w:rPr>
          <w:rFonts w:ascii="Times New Roman" w:hAnsi="Times New Roman"/>
          <w:color w:val="000000"/>
        </w:rPr>
        <w:t>，中国境内营业额</w:t>
      </w:r>
      <w:r>
        <w:rPr>
          <w:rFonts w:hint="eastAsia" w:ascii="Times New Roman" w:hAnsi="Times New Roman"/>
          <w:lang w:eastAsia="zh-CN"/>
        </w:rPr>
        <w:t>（略）</w:t>
      </w:r>
      <w:r>
        <w:rPr>
          <w:rFonts w:ascii="Times New Roman" w:hAnsi="Times New Roman"/>
          <w:color w:val="000000"/>
        </w:rPr>
        <w:t>。</w:t>
      </w:r>
      <w:r>
        <w:rPr>
          <w:rFonts w:ascii="Times New Roman" w:hAnsi="Times New Roman"/>
        </w:rPr>
        <w:t>达到《国务院关于经营者集中申报标准的规定》第三条规定的申报标准，属于应当申报的情形。</w:t>
      </w:r>
    </w:p>
    <w:p>
      <w:pPr>
        <w:spacing w:line="600" w:lineRule="exact"/>
        <w:ind w:firstLine="628" w:firstLineChars="200"/>
      </w:pPr>
      <w:r>
        <w:rPr>
          <w:rFonts w:eastAsia="仿宋_GB2312"/>
          <w:sz w:val="32"/>
          <w:szCs w:val="32"/>
        </w:rPr>
        <w:t>根据《反垄断法》第二十一条规定“经营者集中达到国务院规定的申报标准的，经营者应当事先向国务院反垄断执法机构申报，未申报的不得实施集中”。新设合营企业华发仲量联行已于2019年9月2日完成工商登记，在</w:t>
      </w:r>
      <w:bookmarkStart w:id="0" w:name="_GoBack"/>
      <w:bookmarkEnd w:id="0"/>
      <w:r>
        <w:rPr>
          <w:rFonts w:eastAsia="仿宋_GB2312"/>
          <w:sz w:val="32"/>
          <w:szCs w:val="32"/>
        </w:rPr>
        <w:t>此之前未向我局申报，违反《反垄断法》第二十一条，构成未依法申报违法实施的经营者集中。</w:t>
      </w:r>
    </w:p>
    <w:p>
      <w:pPr>
        <w:spacing w:line="600" w:lineRule="exact"/>
        <w:ind w:firstLine="628" w:firstLineChars="200"/>
        <w:outlineLvl w:val="0"/>
        <w:rPr>
          <w:rFonts w:hint="eastAsia" w:eastAsia="楷体_GB2312"/>
          <w:b/>
          <w:bCs/>
          <w:sz w:val="32"/>
          <w:szCs w:val="32"/>
        </w:rPr>
      </w:pPr>
      <w:r>
        <w:rPr>
          <w:rFonts w:eastAsia="楷体_GB2312"/>
          <w:b/>
          <w:bCs/>
          <w:sz w:val="32"/>
          <w:szCs w:val="32"/>
        </w:rPr>
        <w:t>（二）本案不具有排除、限制竞争的效果。</w:t>
      </w:r>
    </w:p>
    <w:p>
      <w:pPr>
        <w:spacing w:line="600" w:lineRule="exact"/>
        <w:ind w:firstLine="628" w:firstLineChars="200"/>
        <w:outlineLvl w:val="0"/>
        <w:rPr>
          <w:rFonts w:eastAsia="仿宋_GB2312"/>
          <w:sz w:val="32"/>
          <w:szCs w:val="32"/>
        </w:rPr>
      </w:pPr>
      <w:r>
        <w:rPr>
          <w:rFonts w:eastAsia="仿宋_GB2312"/>
          <w:sz w:val="32"/>
          <w:szCs w:val="32"/>
        </w:rPr>
        <w:t>本机关就华发物业与仲量联行新设合营企业华发仲量联行对市场竞争的影响进行了评估，评估认为，该项经营者集中不会产生排除、限制竞争的效果。</w:t>
      </w:r>
    </w:p>
    <w:p>
      <w:pPr>
        <w:suppressAutoHyphens/>
        <w:overflowPunct w:val="0"/>
        <w:autoSpaceDE w:val="0"/>
        <w:autoSpaceDN w:val="0"/>
        <w:adjustRightInd w:val="0"/>
        <w:spacing w:line="594" w:lineRule="exact"/>
        <w:ind w:firstLine="628" w:firstLineChars="200"/>
        <w:rPr>
          <w:rFonts w:ascii="黑体" w:hAnsi="黑体" w:eastAsia="黑体"/>
          <w:sz w:val="32"/>
          <w:szCs w:val="32"/>
        </w:rPr>
      </w:pPr>
      <w:r>
        <w:rPr>
          <w:rFonts w:hint="eastAsia" w:ascii="黑体" w:hAnsi="黑体" w:eastAsia="黑体"/>
          <w:sz w:val="32"/>
          <w:szCs w:val="32"/>
        </w:rPr>
        <w:t>三、行政处罚依据和决定</w:t>
      </w:r>
    </w:p>
    <w:p>
      <w:pPr>
        <w:spacing w:line="594" w:lineRule="exact"/>
        <w:ind w:firstLine="616" w:firstLineChars="196"/>
        <w:rPr>
          <w:rFonts w:eastAsia="仿宋_GB2312"/>
          <w:bCs/>
          <w:color w:val="000000"/>
          <w:sz w:val="32"/>
          <w:szCs w:val="32"/>
        </w:rPr>
      </w:pPr>
      <w:r>
        <w:rPr>
          <w:rFonts w:eastAsia="仿宋_GB2312"/>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spacing w:line="594" w:lineRule="exact"/>
        <w:ind w:firstLine="616" w:firstLineChars="196"/>
        <w:rPr>
          <w:rFonts w:eastAsia="仿宋_GB2312"/>
          <w:sz w:val="32"/>
          <w:szCs w:val="32"/>
        </w:rPr>
      </w:pPr>
      <w:r>
        <w:rPr>
          <w:rFonts w:eastAsia="仿宋_GB2312"/>
          <w:bCs/>
          <w:color w:val="000000"/>
          <w:sz w:val="32"/>
          <w:szCs w:val="32"/>
        </w:rPr>
        <w:t>根据上述规定，</w:t>
      </w:r>
      <w:r>
        <w:rPr>
          <w:rFonts w:hint="eastAsia" w:eastAsia="仿宋_GB2312"/>
          <w:sz w:val="32"/>
          <w:szCs w:val="32"/>
        </w:rPr>
        <w:t>基于调查情况和评估结论，本机关</w:t>
      </w:r>
      <w:r>
        <w:rPr>
          <w:rFonts w:eastAsia="仿宋_GB2312"/>
          <w:bCs/>
          <w:color w:val="000000"/>
          <w:sz w:val="32"/>
          <w:szCs w:val="32"/>
        </w:rPr>
        <w:t>给予</w:t>
      </w:r>
      <w:r>
        <w:rPr>
          <w:rFonts w:eastAsia="仿宋_GB2312"/>
          <w:sz w:val="32"/>
          <w:szCs w:val="32"/>
        </w:rPr>
        <w:t>华发物业与仲量联行</w:t>
      </w:r>
      <w:r>
        <w:rPr>
          <w:rFonts w:eastAsia="仿宋_GB2312"/>
          <w:kern w:val="0"/>
          <w:sz w:val="32"/>
          <w:szCs w:val="32"/>
        </w:rPr>
        <w:t>各3</w:t>
      </w:r>
      <w:r>
        <w:rPr>
          <w:rFonts w:eastAsia="仿宋_GB2312"/>
          <w:sz w:val="32"/>
          <w:szCs w:val="32"/>
        </w:rPr>
        <w:t>5万元人民币</w:t>
      </w:r>
      <w:r>
        <w:rPr>
          <w:rFonts w:eastAsia="仿宋_GB2312"/>
          <w:bCs/>
          <w:color w:val="000000"/>
          <w:sz w:val="32"/>
          <w:szCs w:val="32"/>
        </w:rPr>
        <w:t>罚款的行政处罚。</w:t>
      </w:r>
    </w:p>
    <w:p>
      <w:pPr>
        <w:suppressAutoHyphens/>
        <w:overflowPunct w:val="0"/>
        <w:autoSpaceDE w:val="0"/>
        <w:autoSpaceDN w:val="0"/>
        <w:adjustRightInd w:val="0"/>
        <w:spacing w:line="594" w:lineRule="exact"/>
        <w:ind w:firstLine="628" w:firstLineChars="200"/>
        <w:rPr>
          <w:rFonts w:eastAsia="仿宋_GB2312"/>
          <w:sz w:val="32"/>
          <w:szCs w:val="32"/>
        </w:rPr>
      </w:pPr>
      <w:r>
        <w:rPr>
          <w:rFonts w:hint="eastAsia" w:eastAsia="仿宋_GB2312"/>
          <w:sz w:val="32"/>
          <w:szCs w:val="32"/>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suppressAutoHyphens/>
        <w:overflowPunct w:val="0"/>
        <w:autoSpaceDE w:val="0"/>
        <w:autoSpaceDN w:val="0"/>
        <w:adjustRightInd w:val="0"/>
        <w:spacing w:line="594" w:lineRule="exact"/>
        <w:ind w:firstLine="628" w:firstLineChars="200"/>
        <w:rPr>
          <w:rFonts w:hint="eastAsia" w:eastAsia="仿宋_GB2312"/>
          <w:sz w:val="32"/>
          <w:szCs w:val="32"/>
        </w:rPr>
      </w:pPr>
      <w:r>
        <w:rPr>
          <w:rFonts w:hint="eastAsia" w:eastAsia="仿宋_GB2312"/>
          <w:sz w:val="32"/>
          <w:szCs w:val="32"/>
        </w:rPr>
        <w:t>当事方应当自收到本行政处罚决定书之日起十五日内，根据本行政处罚决定书，携缴款码到12家中央财政非税收入收缴代理银行（工、农、中、建、交、中信、光大、招商、邮储、华夏、平安、兴业）任一银行网点或者网上银行交纳罚款。</w:t>
      </w:r>
      <w:r>
        <w:rPr>
          <w:rFonts w:hint="eastAsia" w:eastAsia="仿宋_GB2312"/>
          <w:sz w:val="32"/>
          <w:szCs w:val="32"/>
          <w:lang w:eastAsia="zh-CN"/>
        </w:rPr>
        <w:t>华发物业</w:t>
      </w:r>
      <w:r>
        <w:rPr>
          <w:rFonts w:hint="eastAsia" w:eastAsia="仿宋_GB2312"/>
          <w:sz w:val="32"/>
          <w:szCs w:val="32"/>
        </w:rPr>
        <w:t>缴款码为</w:t>
      </w:r>
      <w:r>
        <w:rPr>
          <w:rFonts w:hint="eastAsia" w:eastAsia="仿宋_GB2312"/>
          <w:sz w:val="32"/>
          <w:szCs w:val="32"/>
          <w:lang w:eastAsia="zh-CN"/>
        </w:rPr>
        <w:t>（略）</w:t>
      </w:r>
      <w:r>
        <w:rPr>
          <w:rFonts w:hint="eastAsia" w:eastAsia="仿宋_GB2312"/>
          <w:sz w:val="32"/>
          <w:szCs w:val="32"/>
          <w:lang w:val="en-US" w:eastAsia="zh-CN"/>
        </w:rPr>
        <w:t>；仲量联行缴款码为：</w:t>
      </w:r>
      <w:r>
        <w:rPr>
          <w:rFonts w:hint="eastAsia" w:eastAsia="仿宋_GB2312"/>
          <w:sz w:val="32"/>
          <w:szCs w:val="32"/>
          <w:lang w:eastAsia="zh-CN"/>
        </w:rPr>
        <w:t>（略）</w:t>
      </w:r>
      <w:r>
        <w:rPr>
          <w:rFonts w:hint="eastAsia" w:eastAsia="仿宋_GB2312"/>
          <w:sz w:val="32"/>
          <w:szCs w:val="32"/>
        </w:rPr>
        <w:t>。</w:t>
      </w:r>
    </w:p>
    <w:p>
      <w:pPr>
        <w:suppressAutoHyphens/>
        <w:overflowPunct w:val="0"/>
        <w:autoSpaceDE w:val="0"/>
        <w:autoSpaceDN w:val="0"/>
        <w:adjustRightInd w:val="0"/>
        <w:spacing w:line="594" w:lineRule="exact"/>
        <w:ind w:firstLine="628" w:firstLineChars="200"/>
        <w:rPr>
          <w:rFonts w:eastAsia="仿宋_GB2312"/>
          <w:sz w:val="32"/>
          <w:szCs w:val="32"/>
        </w:rPr>
      </w:pPr>
      <w:r>
        <w:rPr>
          <w:rFonts w:hint="eastAsia" w:eastAsia="仿宋_GB2312"/>
          <w:sz w:val="32"/>
          <w:szCs w:val="32"/>
        </w:rPr>
        <w:t xml:space="preserve">当事方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snapToGrid w:val="0"/>
        <w:spacing w:line="594" w:lineRule="exact"/>
        <w:ind w:firstLine="5433" w:firstLineChars="1730"/>
        <w:rPr>
          <w:rFonts w:eastAsia="仿宋_GB2312"/>
          <w:sz w:val="32"/>
          <w:szCs w:val="32"/>
        </w:rPr>
      </w:pPr>
    </w:p>
    <w:p>
      <w:pPr>
        <w:snapToGrid w:val="0"/>
        <w:spacing w:line="594" w:lineRule="exact"/>
        <w:ind w:firstLine="5433" w:firstLineChars="1730"/>
        <w:rPr>
          <w:rFonts w:eastAsia="仿宋_GB2312"/>
          <w:sz w:val="32"/>
          <w:szCs w:val="32"/>
        </w:rPr>
      </w:pPr>
      <w:r>
        <w:rPr>
          <w:rFonts w:hint="eastAsia" w:eastAsia="仿宋_GB2312"/>
          <w:sz w:val="32"/>
          <w:szCs w:val="32"/>
        </w:rPr>
        <w:t>市场监管总局</w:t>
      </w:r>
    </w:p>
    <w:p>
      <w:pPr>
        <w:snapToGrid w:val="0"/>
        <w:spacing w:line="594" w:lineRule="exact"/>
        <w:ind w:firstLine="5225" w:firstLineChars="1664"/>
        <w:rPr>
          <w:rFonts w:eastAsia="仿宋_GB2312"/>
          <w:sz w:val="32"/>
          <w:szCs w:val="32"/>
        </w:rPr>
      </w:pPr>
      <w:r>
        <w:rPr>
          <w:rFonts w:hint="eastAsia" w:eastAsia="仿宋_GB2312"/>
          <w:sz w:val="32"/>
          <w:szCs w:val="32"/>
        </w:rPr>
        <w:t>2021年1月</w:t>
      </w:r>
      <w:r>
        <w:rPr>
          <w:rFonts w:hint="eastAsia" w:eastAsia="仿宋_GB2312"/>
          <w:sz w:val="32"/>
          <w:szCs w:val="32"/>
          <w:lang w:val="en-US" w:eastAsia="zh-CN"/>
        </w:rPr>
        <w:t>27</w:t>
      </w:r>
      <w:r>
        <w:rPr>
          <w:rFonts w:hint="eastAsia" w:eastAsia="仿宋_GB2312"/>
          <w:sz w:val="32"/>
          <w:szCs w:val="32"/>
        </w:rPr>
        <w:t>日</w:t>
      </w:r>
    </w:p>
    <w:p>
      <w:pPr>
        <w:spacing w:line="594" w:lineRule="exact"/>
        <w:ind w:firstLine="628" w:firstLineChars="200"/>
        <w:rPr>
          <w:rFonts w:eastAsia="仿宋_GB2312"/>
          <w:sz w:val="32"/>
          <w:szCs w:val="32"/>
        </w:rPr>
      </w:pPr>
      <w:r>
        <w:rPr>
          <w:rFonts w:hint="eastAsia" w:eastAsia="仿宋_GB231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015F8"/>
    <w:multiLevelType w:val="singleLevel"/>
    <w:tmpl w:val="87A015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420"/>
  <w:drawingGridHorizontalSpacing w:val="102"/>
  <w:drawingGridVerticalSpacing w:val="28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0581"/>
    <w:rsid w:val="000548A3"/>
    <w:rsid w:val="000827DF"/>
    <w:rsid w:val="00091794"/>
    <w:rsid w:val="00104DF8"/>
    <w:rsid w:val="0012430A"/>
    <w:rsid w:val="00133F5C"/>
    <w:rsid w:val="001377A0"/>
    <w:rsid w:val="00157F53"/>
    <w:rsid w:val="001659F5"/>
    <w:rsid w:val="00172A27"/>
    <w:rsid w:val="001D38FA"/>
    <w:rsid w:val="001D41C2"/>
    <w:rsid w:val="002106FE"/>
    <w:rsid w:val="00215C4B"/>
    <w:rsid w:val="002211B6"/>
    <w:rsid w:val="00224158"/>
    <w:rsid w:val="00234B72"/>
    <w:rsid w:val="00245423"/>
    <w:rsid w:val="00252E7C"/>
    <w:rsid w:val="00290548"/>
    <w:rsid w:val="00295562"/>
    <w:rsid w:val="002A1B6C"/>
    <w:rsid w:val="002A4AB1"/>
    <w:rsid w:val="002A7578"/>
    <w:rsid w:val="002D4659"/>
    <w:rsid w:val="002D6CFB"/>
    <w:rsid w:val="002D7588"/>
    <w:rsid w:val="002F155E"/>
    <w:rsid w:val="002F2F6A"/>
    <w:rsid w:val="0031556A"/>
    <w:rsid w:val="00316C50"/>
    <w:rsid w:val="00326B2F"/>
    <w:rsid w:val="00373D66"/>
    <w:rsid w:val="003A02DA"/>
    <w:rsid w:val="003A1E45"/>
    <w:rsid w:val="003A4782"/>
    <w:rsid w:val="003A68E0"/>
    <w:rsid w:val="003D3BC1"/>
    <w:rsid w:val="003D6E20"/>
    <w:rsid w:val="003F7ACA"/>
    <w:rsid w:val="004715CB"/>
    <w:rsid w:val="004A3B22"/>
    <w:rsid w:val="004A6137"/>
    <w:rsid w:val="004B0121"/>
    <w:rsid w:val="004B1754"/>
    <w:rsid w:val="004B55D7"/>
    <w:rsid w:val="004B6FC4"/>
    <w:rsid w:val="004B7197"/>
    <w:rsid w:val="004C4C76"/>
    <w:rsid w:val="004F5E63"/>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F7380"/>
    <w:rsid w:val="009054BC"/>
    <w:rsid w:val="00933B18"/>
    <w:rsid w:val="009766E6"/>
    <w:rsid w:val="009A5313"/>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CF3686"/>
    <w:rsid w:val="00D039F2"/>
    <w:rsid w:val="00D03E5A"/>
    <w:rsid w:val="00D10C55"/>
    <w:rsid w:val="00D12714"/>
    <w:rsid w:val="00D13EC7"/>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3570C80"/>
    <w:rsid w:val="040D264D"/>
    <w:rsid w:val="04E75D87"/>
    <w:rsid w:val="0B307E77"/>
    <w:rsid w:val="0D4D2427"/>
    <w:rsid w:val="0EA50CC3"/>
    <w:rsid w:val="104E0B39"/>
    <w:rsid w:val="132500A4"/>
    <w:rsid w:val="13752A27"/>
    <w:rsid w:val="177C27C1"/>
    <w:rsid w:val="1B28094D"/>
    <w:rsid w:val="1FAB48BB"/>
    <w:rsid w:val="211B31BE"/>
    <w:rsid w:val="23761698"/>
    <w:rsid w:val="2DE60730"/>
    <w:rsid w:val="2E301C88"/>
    <w:rsid w:val="2E7343AE"/>
    <w:rsid w:val="301A4762"/>
    <w:rsid w:val="32DC238B"/>
    <w:rsid w:val="3ABD31FA"/>
    <w:rsid w:val="3E974195"/>
    <w:rsid w:val="43652D02"/>
    <w:rsid w:val="451B0817"/>
    <w:rsid w:val="48A916AD"/>
    <w:rsid w:val="4AB65652"/>
    <w:rsid w:val="4D39790A"/>
    <w:rsid w:val="4E7D535B"/>
    <w:rsid w:val="542559AB"/>
    <w:rsid w:val="542A0388"/>
    <w:rsid w:val="5F3D449D"/>
    <w:rsid w:val="63464DED"/>
    <w:rsid w:val="653809D0"/>
    <w:rsid w:val="66034A8F"/>
    <w:rsid w:val="6B146BDD"/>
    <w:rsid w:val="74D14500"/>
    <w:rsid w:val="7C291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0">
    <w:name w:val="内容"/>
    <w:basedOn w:val="1"/>
    <w:link w:val="1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character" w:customStyle="1" w:styleId="11">
    <w:name w:val="内容 Char"/>
    <w:basedOn w:val="6"/>
    <w:link w:val="10"/>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Pages>
  <Words>1962</Words>
  <Characters>165</Characters>
  <Lines>1</Lines>
  <Paragraphs>4</Paragraphs>
  <TotalTime>3</TotalTime>
  <ScaleCrop>false</ScaleCrop>
  <LinksUpToDate>false</LinksUpToDate>
  <CharactersWithSpaces>2123</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2021-01-21T02:41:00Z</dcterms:created>
  <dc:creator>FtpDown</dc:creator>
  <cp:lastModifiedBy>admin</cp:lastModifiedBy>
  <cp:lastPrinted>2020-12-10T09:17:00Z</cp:lastPrinted>
  <dcterms:modified xsi:type="dcterms:W3CDTF">2021-01-29T07:56:02Z</dcterms:modified>
  <dc:title>国有工商行政管理总局行政处罚公告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