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E7D1B">
      <w:pPr>
        <w:widowControl/>
        <w:spacing w:after="240"/>
        <w:jc w:val="center"/>
        <w:rPr>
          <w:rFonts w:hint="eastAsia" w:ascii="方正小标宋简体" w:hAnsi="方正小标宋简体" w:eastAsia="方正小标宋简体" w:cs="方正小标宋简体"/>
          <w:bCs/>
          <w:kern w:val="0"/>
          <w:sz w:val="44"/>
          <w:szCs w:val="44"/>
          <w:lang w:val="en-GB" w:bidi="ar-AE"/>
        </w:rPr>
      </w:pPr>
      <w:bookmarkStart w:id="1" w:name="_GoBack"/>
      <w:bookmarkEnd w:id="1"/>
      <w:r>
        <w:rPr>
          <w:rFonts w:hint="eastAsia" w:ascii="方正小标宋简体" w:hAnsi="方正小标宋简体" w:eastAsia="方正小标宋简体" w:cs="方正小标宋简体"/>
          <w:bCs/>
          <w:kern w:val="0"/>
          <w:sz w:val="44"/>
          <w:szCs w:val="44"/>
          <w:lang w:val="en-GB" w:bidi="ar-AE"/>
        </w:rPr>
        <w:t>经营者集中简易案件公示表</w:t>
      </w:r>
    </w:p>
    <w:tbl>
      <w:tblPr>
        <w:tblStyle w:val="10"/>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746"/>
        <w:gridCol w:w="5954"/>
      </w:tblGrid>
      <w:tr w14:paraId="2645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940" w:type="dxa"/>
            <w:shd w:val="clear" w:color="auto" w:fill="D9D9D9"/>
            <w:vAlign w:val="center"/>
          </w:tcPr>
          <w:p w14:paraId="20B58AC7">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val="0"/>
                <w:color w:val="000000"/>
                <w:kern w:val="0"/>
                <w:sz w:val="24"/>
                <w:szCs w:val="24"/>
                <w:lang w:val="en-GB" w:eastAsia="en-GB"/>
              </w:rPr>
            </w:pPr>
            <w:r>
              <w:rPr>
                <w:rFonts w:hint="eastAsia" w:ascii="宋体" w:hAnsi="宋体" w:eastAsia="宋体" w:cs="宋体"/>
                <w:b/>
                <w:bCs w:val="0"/>
                <w:color w:val="000000"/>
                <w:kern w:val="0"/>
                <w:sz w:val="24"/>
                <w:szCs w:val="24"/>
                <w:lang w:val="en-GB" w:eastAsia="en-GB"/>
              </w:rPr>
              <w:t>案件名称</w:t>
            </w:r>
          </w:p>
        </w:tc>
        <w:tc>
          <w:tcPr>
            <w:tcW w:w="7700" w:type="dxa"/>
            <w:gridSpan w:val="2"/>
            <w:vAlign w:val="center"/>
          </w:tcPr>
          <w:p w14:paraId="41D76048">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bidi="ar-AE"/>
              </w:rPr>
            </w:pPr>
            <w:r>
              <w:rPr>
                <w:rFonts w:hint="eastAsia" w:ascii="宋体" w:hAnsi="宋体" w:eastAsia="宋体" w:cs="宋体"/>
                <w:b w:val="0"/>
                <w:bCs/>
                <w:color w:val="000000"/>
                <w:kern w:val="0"/>
                <w:sz w:val="24"/>
                <w:szCs w:val="24"/>
                <w:lang w:val="en-US" w:eastAsia="zh-CN" w:bidi="ar-AE"/>
              </w:rPr>
              <w:t>深圳天问产业发展有限公司与深圳市福田红土股权投资基金管理有限公司新设合营企业案</w:t>
            </w:r>
          </w:p>
        </w:tc>
      </w:tr>
      <w:tr w14:paraId="0E02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940" w:type="dxa"/>
            <w:shd w:val="clear" w:color="auto" w:fill="D9D9D9"/>
            <w:vAlign w:val="center"/>
          </w:tcPr>
          <w:p w14:paraId="21C3C315">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val="0"/>
                <w:color w:val="000000"/>
                <w:kern w:val="0"/>
                <w:sz w:val="24"/>
                <w:szCs w:val="24"/>
                <w:lang w:val="en-GB" w:eastAsia="zh-CN"/>
              </w:rPr>
            </w:pPr>
            <w:r>
              <w:rPr>
                <w:rFonts w:hint="eastAsia" w:ascii="宋体" w:hAnsi="宋体" w:eastAsia="宋体" w:cs="宋体"/>
                <w:b/>
                <w:bCs w:val="0"/>
                <w:color w:val="000000"/>
                <w:kern w:val="0"/>
                <w:sz w:val="24"/>
                <w:szCs w:val="24"/>
                <w:lang w:val="en-GB" w:eastAsia="zh-CN"/>
              </w:rPr>
              <w:t>交易概况（限200字内）</w:t>
            </w:r>
          </w:p>
        </w:tc>
        <w:tc>
          <w:tcPr>
            <w:tcW w:w="7700" w:type="dxa"/>
            <w:gridSpan w:val="2"/>
            <w:vAlign w:val="center"/>
          </w:tcPr>
          <w:p w14:paraId="34C961D9">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bidi="ar-AE"/>
              </w:rPr>
            </w:pPr>
            <w:r>
              <w:rPr>
                <w:rFonts w:hint="eastAsia" w:ascii="宋体" w:hAnsi="宋体" w:eastAsia="宋体" w:cs="宋体"/>
                <w:b w:val="0"/>
                <w:bCs/>
                <w:color w:val="000000"/>
                <w:kern w:val="0"/>
                <w:sz w:val="24"/>
                <w:szCs w:val="24"/>
                <w:lang w:val="en-US" w:eastAsia="zh-CN" w:bidi="ar-AE"/>
              </w:rPr>
              <w:t>深圳天问产业发展有限公司（“天问”）、深圳市福田红土股权投资基金管理有限公司（“福田红土”）、深圳市引导基金投资有限公司、深圳市福田引导基金投资有限公司、深圳市智慧城市产投私募基金管理有限公司、深圳市红土创业投资有限公司、荣耀终端股份有限公司签订合伙协议，拟共同设立一家有限合伙企业（“合营企业”）。合营企业拟主要从事中国境内私募股权投资基金业务。交易后，天问、福田红土将各持有合营企业1.39%的合伙份额，共同控制合营企业。</w:t>
            </w:r>
          </w:p>
        </w:tc>
      </w:tr>
      <w:tr w14:paraId="49FC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940" w:type="dxa"/>
            <w:vMerge w:val="restart"/>
            <w:shd w:val="clear" w:color="auto" w:fill="D9D9D9"/>
            <w:vAlign w:val="center"/>
          </w:tcPr>
          <w:p w14:paraId="16CCBABD">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val="0"/>
                <w:color w:val="000000"/>
                <w:kern w:val="0"/>
                <w:sz w:val="24"/>
                <w:szCs w:val="24"/>
                <w:lang w:val="en-GB" w:eastAsia="zh-CN"/>
              </w:rPr>
            </w:pPr>
            <w:r>
              <w:rPr>
                <w:rFonts w:hint="eastAsia" w:ascii="宋体" w:hAnsi="宋体" w:eastAsia="宋体" w:cs="宋体"/>
                <w:b/>
                <w:bCs w:val="0"/>
                <w:color w:val="000000"/>
                <w:kern w:val="0"/>
                <w:sz w:val="24"/>
                <w:szCs w:val="24"/>
                <w:lang w:val="en-GB" w:eastAsia="zh-CN"/>
              </w:rPr>
              <w:t>参与集中的经营者简介（每个限100字以内）</w:t>
            </w:r>
          </w:p>
        </w:tc>
        <w:tc>
          <w:tcPr>
            <w:tcW w:w="1746" w:type="dxa"/>
            <w:vAlign w:val="center"/>
          </w:tcPr>
          <w:p w14:paraId="5B3E2CEE">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GB" w:eastAsia="zh-CN" w:bidi="ar-AE"/>
              </w:rPr>
            </w:pPr>
            <w:r>
              <w:rPr>
                <w:rFonts w:hint="eastAsia" w:ascii="宋体" w:hAnsi="宋体" w:eastAsia="宋体" w:cs="宋体"/>
                <w:b w:val="0"/>
                <w:bCs/>
                <w:color w:val="000000"/>
                <w:kern w:val="0"/>
                <w:sz w:val="24"/>
                <w:szCs w:val="24"/>
                <w:lang w:val="en-US" w:eastAsia="zh-CN" w:bidi="ar-AE"/>
              </w:rPr>
              <w:t xml:space="preserve">1. </w:t>
            </w:r>
            <w:r>
              <w:rPr>
                <w:rFonts w:hint="eastAsia" w:ascii="宋体" w:hAnsi="宋体" w:eastAsia="宋体" w:cs="宋体"/>
                <w:b w:val="0"/>
                <w:bCs/>
                <w:color w:val="000000"/>
                <w:kern w:val="0"/>
                <w:sz w:val="24"/>
                <w:szCs w:val="24"/>
                <w:lang w:val="en-US" w:eastAsia="en-GB" w:bidi="ar-AE"/>
              </w:rPr>
              <w:t>天问</w:t>
            </w:r>
          </w:p>
        </w:tc>
        <w:tc>
          <w:tcPr>
            <w:tcW w:w="5954" w:type="dxa"/>
            <w:vAlign w:val="center"/>
          </w:tcPr>
          <w:p w14:paraId="15A28684">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bidi="ar-AE"/>
              </w:rPr>
            </w:pPr>
            <w:r>
              <w:rPr>
                <w:rFonts w:hint="eastAsia" w:ascii="宋体" w:hAnsi="宋体" w:eastAsia="宋体" w:cs="宋体"/>
                <w:b w:val="0"/>
                <w:bCs/>
                <w:color w:val="000000"/>
                <w:kern w:val="0"/>
                <w:sz w:val="24"/>
                <w:szCs w:val="24"/>
                <w:lang w:val="en-US" w:eastAsia="zh-CN" w:bidi="ar-AE"/>
              </w:rPr>
              <w:t>天问于</w:t>
            </w:r>
            <w:bookmarkStart w:id="0" w:name="_Hlk103865879"/>
            <w:r>
              <w:rPr>
                <w:rFonts w:hint="eastAsia" w:ascii="宋体" w:hAnsi="宋体" w:eastAsia="宋体" w:cs="宋体"/>
                <w:b w:val="0"/>
                <w:bCs/>
                <w:color w:val="000000"/>
                <w:kern w:val="0"/>
                <w:sz w:val="24"/>
                <w:szCs w:val="24"/>
                <w:lang w:val="en-US" w:eastAsia="zh-CN" w:bidi="ar-AE"/>
              </w:rPr>
              <w:t>2025年4月29日</w:t>
            </w:r>
            <w:bookmarkEnd w:id="0"/>
            <w:r>
              <w:rPr>
                <w:rFonts w:hint="eastAsia" w:ascii="宋体" w:hAnsi="宋体" w:eastAsia="宋体" w:cs="宋体"/>
                <w:b w:val="0"/>
                <w:bCs/>
                <w:color w:val="000000"/>
                <w:kern w:val="0"/>
                <w:sz w:val="24"/>
                <w:szCs w:val="24"/>
                <w:lang w:val="en-US" w:eastAsia="zh-CN" w:bidi="ar-AE"/>
              </w:rPr>
              <w:t>成立于广东省，主要从事创业投资业务。</w:t>
            </w:r>
          </w:p>
          <w:p w14:paraId="1710C0ED">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GB" w:eastAsia="zh-CN" w:bidi="ar-AE"/>
              </w:rPr>
            </w:pPr>
            <w:r>
              <w:rPr>
                <w:rFonts w:hint="eastAsia" w:ascii="宋体" w:hAnsi="宋体" w:eastAsia="宋体" w:cs="宋体"/>
                <w:b w:val="0"/>
                <w:bCs/>
                <w:color w:val="000000"/>
                <w:kern w:val="0"/>
                <w:sz w:val="24"/>
                <w:szCs w:val="24"/>
                <w:lang w:val="en-US" w:eastAsia="zh-CN" w:bidi="ar-AE"/>
              </w:rPr>
              <w:t>天问为深圳市人民政府国有资产监督管理委员会下属企业。</w:t>
            </w:r>
          </w:p>
        </w:tc>
      </w:tr>
      <w:tr w14:paraId="1771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40" w:type="dxa"/>
            <w:vMerge w:val="continue"/>
            <w:shd w:val="clear" w:color="auto" w:fill="D9D9D9"/>
            <w:vAlign w:val="center"/>
          </w:tcPr>
          <w:p w14:paraId="339A0472">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val="0"/>
                <w:color w:val="000000"/>
                <w:kern w:val="0"/>
                <w:sz w:val="24"/>
                <w:szCs w:val="24"/>
                <w:lang w:val="en-GB" w:eastAsia="zh-CN"/>
              </w:rPr>
            </w:pPr>
          </w:p>
        </w:tc>
        <w:tc>
          <w:tcPr>
            <w:tcW w:w="1746" w:type="dxa"/>
            <w:vAlign w:val="center"/>
          </w:tcPr>
          <w:p w14:paraId="08889A93">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bidi="ar-AE"/>
              </w:rPr>
            </w:pPr>
            <w:r>
              <w:rPr>
                <w:rFonts w:hint="eastAsia" w:ascii="宋体" w:hAnsi="宋体" w:eastAsia="宋体" w:cs="宋体"/>
                <w:b w:val="0"/>
                <w:bCs/>
                <w:color w:val="000000"/>
                <w:kern w:val="0"/>
                <w:sz w:val="24"/>
                <w:szCs w:val="24"/>
                <w:lang w:val="en-US" w:eastAsia="zh-CN" w:bidi="ar-AE"/>
              </w:rPr>
              <w:t xml:space="preserve">2. </w:t>
            </w:r>
            <w:r>
              <w:rPr>
                <w:rFonts w:hint="eastAsia" w:ascii="宋体" w:hAnsi="宋体" w:eastAsia="宋体" w:cs="宋体"/>
                <w:b w:val="0"/>
                <w:bCs/>
                <w:color w:val="000000"/>
                <w:kern w:val="0"/>
                <w:sz w:val="24"/>
                <w:szCs w:val="24"/>
                <w:lang w:val="en-US" w:eastAsia="en-GB" w:bidi="ar-AE"/>
              </w:rPr>
              <w:t>福田红土</w:t>
            </w:r>
          </w:p>
        </w:tc>
        <w:tc>
          <w:tcPr>
            <w:tcW w:w="5954" w:type="dxa"/>
            <w:vAlign w:val="center"/>
          </w:tcPr>
          <w:p w14:paraId="154ABB29">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bidi="ar-AE"/>
              </w:rPr>
            </w:pPr>
            <w:r>
              <w:rPr>
                <w:rFonts w:hint="eastAsia" w:ascii="宋体" w:hAnsi="宋体" w:eastAsia="宋体" w:cs="宋体"/>
                <w:b w:val="0"/>
                <w:bCs/>
                <w:color w:val="000000"/>
                <w:kern w:val="0"/>
                <w:sz w:val="24"/>
                <w:szCs w:val="24"/>
                <w:lang w:val="en-US" w:eastAsia="zh-CN" w:bidi="ar-AE"/>
              </w:rPr>
              <w:t>福田红土于2016年12月13日成立于广东省，主要从事私募股权投资基金业务。</w:t>
            </w:r>
          </w:p>
          <w:p w14:paraId="03CDD519">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GB" w:eastAsia="zh-CN" w:bidi="ar-AE"/>
              </w:rPr>
            </w:pPr>
            <w:r>
              <w:rPr>
                <w:rFonts w:hint="eastAsia" w:ascii="宋体" w:hAnsi="宋体" w:eastAsia="宋体" w:cs="宋体"/>
                <w:b w:val="0"/>
                <w:bCs/>
                <w:color w:val="000000"/>
                <w:kern w:val="0"/>
                <w:sz w:val="24"/>
                <w:szCs w:val="24"/>
                <w:lang w:val="en-US" w:eastAsia="zh-CN" w:bidi="ar-AE"/>
              </w:rPr>
              <w:t>福田红土最终控制人为深圳市创新投资集团有限公司，主要从事股权投资、母基金管理业务、公募基金管理业务等业务。</w:t>
            </w:r>
          </w:p>
        </w:tc>
      </w:tr>
      <w:tr w14:paraId="3131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40" w:type="dxa"/>
            <w:vMerge w:val="restart"/>
            <w:shd w:val="clear" w:color="auto" w:fill="D9D9D9"/>
            <w:vAlign w:val="center"/>
          </w:tcPr>
          <w:p w14:paraId="522F9212">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val="0"/>
                <w:color w:val="000000"/>
                <w:kern w:val="0"/>
                <w:sz w:val="24"/>
                <w:szCs w:val="24"/>
                <w:lang w:val="en-GB" w:eastAsia="zh-CN"/>
              </w:rPr>
            </w:pPr>
            <w:r>
              <w:rPr>
                <w:rFonts w:hint="eastAsia" w:ascii="宋体" w:hAnsi="宋体" w:eastAsia="宋体" w:cs="宋体"/>
                <w:b/>
                <w:bCs w:val="0"/>
                <w:color w:val="000000"/>
                <w:kern w:val="0"/>
                <w:sz w:val="24"/>
                <w:szCs w:val="24"/>
                <w:lang w:val="en-GB" w:eastAsia="zh-CN"/>
              </w:rPr>
              <w:t>简易案件理由（可以单选，也可以多选）</w:t>
            </w:r>
          </w:p>
        </w:tc>
        <w:tc>
          <w:tcPr>
            <w:tcW w:w="7700" w:type="dxa"/>
            <w:gridSpan w:val="2"/>
            <w:vAlign w:val="center"/>
          </w:tcPr>
          <w:p w14:paraId="1011A7AD">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bidi="ar-AE"/>
              </w:rPr>
            </w:pPr>
            <w:r>
              <w:rPr>
                <w:rFonts w:hint="eastAsia" w:ascii="宋体" w:hAnsi="宋体" w:eastAsia="宋体" w:cs="宋体"/>
                <w:b w:val="0"/>
                <w:bCs/>
                <w:color w:val="000000"/>
                <w:kern w:val="0"/>
                <w:sz w:val="24"/>
                <w:szCs w:val="24"/>
                <w:lang w:val="en-GB" w:eastAsia="zh-CN" w:bidi="ar-AE"/>
              </w:rPr>
              <w:sym w:font="Wingdings" w:char="00FE"/>
            </w:r>
            <w:r>
              <w:rPr>
                <w:rFonts w:hint="eastAsia" w:ascii="宋体" w:hAnsi="宋体" w:eastAsia="宋体" w:cs="宋体"/>
                <w:b w:val="0"/>
                <w:bCs/>
                <w:color w:val="000000"/>
                <w:kern w:val="0"/>
                <w:sz w:val="24"/>
                <w:szCs w:val="24"/>
                <w:lang w:val="en-GB" w:eastAsia="zh-CN" w:bidi="ar-AE"/>
              </w:rPr>
              <w:t xml:space="preserve"> 1、在同一相关市场，所有参与集中的经营者所占市场份额之和小于15%。</w:t>
            </w:r>
          </w:p>
        </w:tc>
      </w:tr>
      <w:tr w14:paraId="7B36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40" w:type="dxa"/>
            <w:vMerge w:val="continue"/>
            <w:shd w:val="clear" w:color="auto" w:fill="D9D9D9"/>
            <w:vAlign w:val="center"/>
          </w:tcPr>
          <w:p w14:paraId="4C1E4814">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val="0"/>
                <w:color w:val="000000"/>
                <w:kern w:val="0"/>
                <w:sz w:val="24"/>
                <w:szCs w:val="24"/>
                <w:lang w:val="en-GB" w:eastAsia="zh-CN"/>
              </w:rPr>
            </w:pPr>
          </w:p>
        </w:tc>
        <w:tc>
          <w:tcPr>
            <w:tcW w:w="7700" w:type="dxa"/>
            <w:gridSpan w:val="2"/>
            <w:vAlign w:val="center"/>
          </w:tcPr>
          <w:p w14:paraId="5D3C9FAD">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bidi="ar-AE"/>
              </w:rPr>
            </w:pPr>
            <w:r>
              <w:rPr>
                <w:rFonts w:hint="eastAsia" w:ascii="宋体" w:hAnsi="宋体" w:eastAsia="宋体" w:cs="宋体"/>
                <w:b w:val="0"/>
                <w:bCs/>
                <w:color w:val="000000"/>
                <w:kern w:val="0"/>
                <w:sz w:val="24"/>
                <w:szCs w:val="24"/>
                <w:lang w:val="en-GB" w:eastAsia="zh-CN" w:bidi="ar-AE"/>
              </w:rPr>
              <w:sym w:font="Wingdings" w:char="F06F"/>
            </w:r>
            <w:r>
              <w:rPr>
                <w:rFonts w:hint="eastAsia" w:ascii="宋体" w:hAnsi="宋体" w:eastAsia="宋体" w:cs="宋体"/>
                <w:b w:val="0"/>
                <w:bCs/>
                <w:color w:val="000000"/>
                <w:kern w:val="0"/>
                <w:sz w:val="24"/>
                <w:szCs w:val="24"/>
                <w:lang w:val="en-GB" w:eastAsia="zh-CN" w:bidi="ar-AE"/>
              </w:rPr>
              <w:t xml:space="preserve"> 2、存在上下游关系的参与集中的经营者，在上下游市场所占的市场份额均小于25%。</w:t>
            </w:r>
          </w:p>
        </w:tc>
      </w:tr>
      <w:tr w14:paraId="223E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0" w:type="dxa"/>
            <w:vMerge w:val="continue"/>
            <w:shd w:val="clear" w:color="auto" w:fill="D9D9D9"/>
            <w:vAlign w:val="center"/>
          </w:tcPr>
          <w:p w14:paraId="183CE8D9">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val="0"/>
                <w:color w:val="000000"/>
                <w:kern w:val="0"/>
                <w:sz w:val="24"/>
                <w:szCs w:val="24"/>
                <w:lang w:val="en-GB" w:eastAsia="zh-CN"/>
              </w:rPr>
            </w:pPr>
          </w:p>
        </w:tc>
        <w:tc>
          <w:tcPr>
            <w:tcW w:w="7700" w:type="dxa"/>
            <w:gridSpan w:val="2"/>
            <w:vAlign w:val="center"/>
          </w:tcPr>
          <w:p w14:paraId="257F5465">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bidi="ar-AE"/>
              </w:rPr>
            </w:pPr>
            <w:r>
              <w:rPr>
                <w:rFonts w:hint="eastAsia" w:ascii="宋体" w:hAnsi="宋体" w:eastAsia="宋体" w:cs="宋体"/>
                <w:b w:val="0"/>
                <w:bCs/>
                <w:color w:val="000000"/>
                <w:kern w:val="0"/>
                <w:sz w:val="24"/>
                <w:szCs w:val="24"/>
                <w:lang w:val="en-GB" w:eastAsia="zh-CN" w:bidi="ar-AE"/>
              </w:rPr>
              <w:sym w:font="Wingdings" w:char="F06F"/>
            </w:r>
            <w:r>
              <w:rPr>
                <w:rFonts w:hint="eastAsia" w:ascii="宋体" w:hAnsi="宋体" w:eastAsia="宋体" w:cs="宋体"/>
                <w:b w:val="0"/>
                <w:bCs/>
                <w:color w:val="000000"/>
                <w:kern w:val="0"/>
                <w:sz w:val="24"/>
                <w:szCs w:val="24"/>
                <w:lang w:val="en-GB" w:eastAsia="zh-CN" w:bidi="ar-AE"/>
              </w:rPr>
              <w:t xml:space="preserve"> 3、不在同一相关市场、也不存在上下游关系的参与集中的经营者，在与交易有关的每个市场所占的份额均小于25%。</w:t>
            </w:r>
          </w:p>
        </w:tc>
      </w:tr>
      <w:tr w14:paraId="41CB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940" w:type="dxa"/>
            <w:vMerge w:val="continue"/>
            <w:shd w:val="clear" w:color="auto" w:fill="D9D9D9"/>
            <w:vAlign w:val="center"/>
          </w:tcPr>
          <w:p w14:paraId="59F7EAB9">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val="0"/>
                <w:color w:val="000000"/>
                <w:kern w:val="0"/>
                <w:sz w:val="24"/>
                <w:szCs w:val="24"/>
                <w:lang w:val="en-GB" w:eastAsia="zh-CN"/>
              </w:rPr>
            </w:pPr>
          </w:p>
        </w:tc>
        <w:tc>
          <w:tcPr>
            <w:tcW w:w="7700" w:type="dxa"/>
            <w:gridSpan w:val="2"/>
            <w:vAlign w:val="center"/>
          </w:tcPr>
          <w:p w14:paraId="57BCF78C">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bidi="ar-AE"/>
              </w:rPr>
            </w:pPr>
            <w:r>
              <w:rPr>
                <w:rFonts w:hint="eastAsia" w:ascii="宋体" w:hAnsi="宋体" w:eastAsia="宋体" w:cs="宋体"/>
                <w:b w:val="0"/>
                <w:bCs/>
                <w:color w:val="000000"/>
                <w:kern w:val="0"/>
                <w:sz w:val="24"/>
                <w:szCs w:val="24"/>
                <w:lang w:val="en-GB" w:eastAsia="zh-CN" w:bidi="ar-AE"/>
              </w:rPr>
              <w:sym w:font="Wingdings" w:char="00A8"/>
            </w:r>
            <w:r>
              <w:rPr>
                <w:rFonts w:hint="eastAsia" w:ascii="宋体" w:hAnsi="宋体" w:eastAsia="宋体" w:cs="宋体"/>
                <w:b w:val="0"/>
                <w:bCs/>
                <w:color w:val="000000"/>
                <w:kern w:val="0"/>
                <w:sz w:val="24"/>
                <w:szCs w:val="24"/>
                <w:lang w:val="en-GB" w:eastAsia="zh-CN" w:bidi="ar-AE"/>
              </w:rPr>
              <w:t xml:space="preserve"> 4、参与集中的经营者在中国境外设立合营企业，合营企业不在中国境内从事经济活动。</w:t>
            </w:r>
          </w:p>
        </w:tc>
      </w:tr>
      <w:tr w14:paraId="0747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40" w:type="dxa"/>
            <w:vMerge w:val="continue"/>
            <w:shd w:val="clear" w:color="auto" w:fill="D9D9D9"/>
            <w:vAlign w:val="center"/>
          </w:tcPr>
          <w:p w14:paraId="6FB9924E">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val="0"/>
                <w:color w:val="000000"/>
                <w:kern w:val="0"/>
                <w:sz w:val="24"/>
                <w:szCs w:val="24"/>
                <w:lang w:val="en-GB" w:eastAsia="zh-CN"/>
              </w:rPr>
            </w:pPr>
          </w:p>
        </w:tc>
        <w:tc>
          <w:tcPr>
            <w:tcW w:w="7700" w:type="dxa"/>
            <w:gridSpan w:val="2"/>
            <w:vAlign w:val="center"/>
          </w:tcPr>
          <w:p w14:paraId="1C32A843">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bidi="ar-AE"/>
              </w:rPr>
            </w:pPr>
            <w:r>
              <w:rPr>
                <w:rFonts w:hint="eastAsia" w:ascii="宋体" w:hAnsi="宋体" w:eastAsia="宋体" w:cs="宋体"/>
                <w:b w:val="0"/>
                <w:bCs/>
                <w:color w:val="000000"/>
                <w:kern w:val="0"/>
                <w:sz w:val="24"/>
                <w:szCs w:val="24"/>
                <w:lang w:val="en-GB" w:eastAsia="zh-CN" w:bidi="ar-AE"/>
              </w:rPr>
              <w:sym w:font="Wingdings" w:char="00A8"/>
            </w:r>
            <w:r>
              <w:rPr>
                <w:rFonts w:hint="eastAsia" w:ascii="宋体" w:hAnsi="宋体" w:eastAsia="宋体" w:cs="宋体"/>
                <w:b w:val="0"/>
                <w:bCs/>
                <w:color w:val="000000"/>
                <w:kern w:val="0"/>
                <w:sz w:val="24"/>
                <w:szCs w:val="24"/>
                <w:lang w:val="en-GB" w:eastAsia="zh-CN" w:bidi="ar-AE"/>
              </w:rPr>
              <w:t xml:space="preserve"> 5、参与集中的经营者收购境外企业股权或资产的，该境外企业不在中国境内从事经济活动。</w:t>
            </w:r>
          </w:p>
        </w:tc>
      </w:tr>
      <w:tr w14:paraId="493A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40" w:type="dxa"/>
            <w:vMerge w:val="continue"/>
            <w:shd w:val="clear" w:color="auto" w:fill="D9D9D9"/>
            <w:vAlign w:val="center"/>
          </w:tcPr>
          <w:p w14:paraId="3C9D6582">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val="0"/>
                <w:color w:val="000000"/>
                <w:kern w:val="0"/>
                <w:sz w:val="24"/>
                <w:szCs w:val="24"/>
                <w:lang w:val="en-GB" w:eastAsia="zh-CN"/>
              </w:rPr>
            </w:pPr>
          </w:p>
        </w:tc>
        <w:tc>
          <w:tcPr>
            <w:tcW w:w="7700" w:type="dxa"/>
            <w:gridSpan w:val="2"/>
            <w:vAlign w:val="center"/>
          </w:tcPr>
          <w:p w14:paraId="4878A668">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bidi="ar-AE"/>
              </w:rPr>
            </w:pPr>
            <w:r>
              <w:rPr>
                <w:rFonts w:hint="eastAsia" w:ascii="宋体" w:hAnsi="宋体" w:eastAsia="宋体" w:cs="宋体"/>
                <w:b w:val="0"/>
                <w:bCs/>
                <w:color w:val="000000"/>
                <w:kern w:val="0"/>
                <w:sz w:val="24"/>
                <w:szCs w:val="24"/>
                <w:lang w:val="en-GB" w:eastAsia="zh-CN" w:bidi="ar-AE"/>
              </w:rPr>
              <w:sym w:font="Wingdings" w:char="00A8"/>
            </w:r>
            <w:r>
              <w:rPr>
                <w:rFonts w:hint="eastAsia" w:ascii="宋体" w:hAnsi="宋体" w:eastAsia="宋体" w:cs="宋体"/>
                <w:b w:val="0"/>
                <w:bCs/>
                <w:color w:val="000000"/>
                <w:kern w:val="0"/>
                <w:sz w:val="24"/>
                <w:szCs w:val="24"/>
                <w:lang w:val="en-GB" w:eastAsia="zh-CN" w:bidi="ar-AE"/>
              </w:rPr>
              <w:t xml:space="preserve"> 6、由两个以上的经营者共同控制的合营企业，通过集中被其中一个或一个以上经营者控制。</w:t>
            </w:r>
          </w:p>
        </w:tc>
      </w:tr>
      <w:tr w14:paraId="248F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940" w:type="dxa"/>
            <w:shd w:val="clear" w:color="auto" w:fill="D9D9D9"/>
            <w:vAlign w:val="center"/>
          </w:tcPr>
          <w:p w14:paraId="26FA693D">
            <w:pPr>
              <w:pStyle w:val="5"/>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val="0"/>
                <w:color w:val="000000"/>
                <w:kern w:val="0"/>
                <w:sz w:val="24"/>
                <w:szCs w:val="24"/>
                <w:lang w:val="en-GB" w:eastAsia="zh-CN"/>
              </w:rPr>
            </w:pPr>
            <w:r>
              <w:rPr>
                <w:rFonts w:hint="eastAsia" w:ascii="宋体" w:hAnsi="宋体" w:eastAsia="宋体" w:cs="宋体"/>
                <w:b/>
                <w:bCs w:val="0"/>
                <w:color w:val="000000"/>
                <w:kern w:val="0"/>
                <w:sz w:val="24"/>
                <w:szCs w:val="24"/>
                <w:lang w:val="en-GB" w:eastAsia="zh-CN"/>
              </w:rPr>
              <w:t>备注</w:t>
            </w:r>
          </w:p>
        </w:tc>
        <w:tc>
          <w:tcPr>
            <w:tcW w:w="7700" w:type="dxa"/>
            <w:gridSpan w:val="2"/>
            <w:vAlign w:val="center"/>
          </w:tcPr>
          <w:p w14:paraId="4CE32DC9">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bCs w:val="0"/>
                <w:color w:val="000000"/>
                <w:kern w:val="0"/>
                <w:sz w:val="24"/>
                <w:szCs w:val="24"/>
                <w:lang w:val="en-GB" w:eastAsia="zh-CN" w:bidi="ar-AE"/>
              </w:rPr>
            </w:pPr>
            <w:r>
              <w:rPr>
                <w:rFonts w:hint="eastAsia" w:ascii="宋体" w:hAnsi="宋体" w:eastAsia="宋体" w:cs="宋体"/>
                <w:b/>
                <w:bCs w:val="0"/>
                <w:color w:val="000000"/>
                <w:kern w:val="0"/>
                <w:sz w:val="24"/>
                <w:szCs w:val="24"/>
                <w:lang w:val="en-GB" w:eastAsia="zh-CN" w:bidi="ar-AE"/>
              </w:rPr>
              <w:t>横向重叠：</w:t>
            </w:r>
          </w:p>
          <w:p w14:paraId="34228041">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US" w:eastAsia="zh-CN" w:bidi="ar-AE"/>
              </w:rPr>
            </w:pPr>
            <w:r>
              <w:rPr>
                <w:rFonts w:hint="eastAsia" w:ascii="宋体" w:hAnsi="宋体" w:eastAsia="宋体" w:cs="宋体"/>
                <w:b w:val="0"/>
                <w:bCs/>
                <w:color w:val="000000"/>
                <w:kern w:val="0"/>
                <w:sz w:val="24"/>
                <w:szCs w:val="24"/>
                <w:lang w:val="en-GB" w:eastAsia="zh-CN" w:bidi="ar-AE"/>
              </w:rPr>
              <w:t>2024年中国境内私募股权投资基金市场：</w:t>
            </w:r>
          </w:p>
          <w:p w14:paraId="25723456">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GB" w:eastAsia="zh-CN" w:bidi="ar-AE"/>
              </w:rPr>
            </w:pPr>
            <w:r>
              <w:rPr>
                <w:rFonts w:hint="eastAsia" w:ascii="宋体" w:hAnsi="宋体" w:eastAsia="宋体" w:cs="宋体"/>
                <w:b w:val="0"/>
                <w:bCs/>
                <w:color w:val="000000"/>
                <w:kern w:val="0"/>
                <w:sz w:val="24"/>
                <w:szCs w:val="24"/>
                <w:lang w:val="en-US" w:eastAsia="zh-CN" w:bidi="ar-AE"/>
              </w:rPr>
              <w:t>天问</w:t>
            </w:r>
            <w:r>
              <w:rPr>
                <w:rFonts w:hint="eastAsia" w:ascii="宋体" w:hAnsi="宋体" w:eastAsia="宋体" w:cs="宋体"/>
                <w:b w:val="0"/>
                <w:bCs/>
                <w:color w:val="000000"/>
                <w:kern w:val="0"/>
                <w:sz w:val="24"/>
                <w:szCs w:val="24"/>
                <w:lang w:val="en-GB" w:eastAsia="zh-CN" w:bidi="ar-AE"/>
              </w:rPr>
              <w:t>：0-5%</w:t>
            </w:r>
          </w:p>
          <w:p w14:paraId="35A235AF">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GB" w:eastAsia="zh-CN" w:bidi="ar-AE"/>
              </w:rPr>
            </w:pPr>
            <w:r>
              <w:rPr>
                <w:rFonts w:hint="eastAsia" w:ascii="宋体" w:hAnsi="宋体" w:eastAsia="宋体" w:cs="宋体"/>
                <w:b w:val="0"/>
                <w:bCs/>
                <w:color w:val="000000"/>
                <w:kern w:val="0"/>
                <w:sz w:val="24"/>
                <w:szCs w:val="24"/>
                <w:lang w:val="en-GB" w:eastAsia="zh-CN" w:bidi="ar-AE"/>
              </w:rPr>
              <w:t>福田红土：0-5%</w:t>
            </w:r>
          </w:p>
          <w:p w14:paraId="66225547">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GB" w:eastAsia="zh-CN" w:bidi="ar-AE"/>
              </w:rPr>
            </w:pPr>
            <w:r>
              <w:rPr>
                <w:rFonts w:hint="eastAsia" w:ascii="宋体" w:hAnsi="宋体" w:eastAsia="宋体" w:cs="宋体"/>
                <w:b w:val="0"/>
                <w:bCs/>
                <w:color w:val="000000"/>
                <w:kern w:val="0"/>
                <w:sz w:val="24"/>
                <w:szCs w:val="24"/>
                <w:lang w:val="en-GB" w:eastAsia="zh-CN" w:bidi="ar-AE"/>
              </w:rPr>
              <w:t>合营企业2025年预估：0-5%</w:t>
            </w:r>
          </w:p>
          <w:p w14:paraId="0B73B447">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b w:val="0"/>
                <w:bCs/>
                <w:color w:val="000000"/>
                <w:kern w:val="0"/>
                <w:sz w:val="24"/>
                <w:szCs w:val="24"/>
                <w:lang w:val="en-GB" w:eastAsia="zh-CN" w:bidi="ar-AE"/>
              </w:rPr>
            </w:pPr>
            <w:r>
              <w:rPr>
                <w:rFonts w:hint="eastAsia" w:ascii="宋体" w:hAnsi="宋体" w:eastAsia="宋体" w:cs="宋体"/>
                <w:b w:val="0"/>
                <w:bCs/>
                <w:color w:val="000000"/>
                <w:kern w:val="0"/>
                <w:sz w:val="24"/>
                <w:szCs w:val="24"/>
                <w:lang w:val="en-GB" w:eastAsia="zh-CN" w:bidi="ar-AE"/>
              </w:rPr>
              <w:t>合计：0-5%</w:t>
            </w:r>
          </w:p>
        </w:tc>
      </w:tr>
    </w:tbl>
    <w:p w14:paraId="421CC98E">
      <w:pPr>
        <w:rPr>
          <w:rFonts w:hint="default" w:ascii="Times New Roman" w:hAnsi="Times New Roman" w:cs="Times New Roman" w:eastAsiaTheme="minor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Simplified Arabic">
    <w:altName w:val="Times New Roman"/>
    <w:panose1 w:val="02020603050405020304"/>
    <w:charset w:val="B2"/>
    <w:family w:val="roman"/>
    <w:pitch w:val="default"/>
    <w:sig w:usb0="00000000" w:usb1="00000000" w:usb2="00000000" w:usb3="00000000" w:csb0="00000041" w:csb1="200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FA0A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344C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344C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MTI0ODhhNzFmMGU3MTZhMTA0ODYxYzI1N2YwYjIifQ=="/>
  </w:docVars>
  <w:rsids>
    <w:rsidRoot w:val="511505E7"/>
    <w:rsid w:val="00042BDD"/>
    <w:rsid w:val="0007692D"/>
    <w:rsid w:val="00087338"/>
    <w:rsid w:val="00114814"/>
    <w:rsid w:val="001B50F2"/>
    <w:rsid w:val="001C6148"/>
    <w:rsid w:val="001F1C3C"/>
    <w:rsid w:val="0022179C"/>
    <w:rsid w:val="00221FCA"/>
    <w:rsid w:val="00244DF9"/>
    <w:rsid w:val="00284710"/>
    <w:rsid w:val="00332EAC"/>
    <w:rsid w:val="00346B84"/>
    <w:rsid w:val="00367A54"/>
    <w:rsid w:val="004C4C54"/>
    <w:rsid w:val="00500F51"/>
    <w:rsid w:val="00504BEC"/>
    <w:rsid w:val="00507863"/>
    <w:rsid w:val="005C4EFC"/>
    <w:rsid w:val="0062408E"/>
    <w:rsid w:val="00627CE6"/>
    <w:rsid w:val="00646E32"/>
    <w:rsid w:val="006A20C6"/>
    <w:rsid w:val="006C3B44"/>
    <w:rsid w:val="00707821"/>
    <w:rsid w:val="0072474D"/>
    <w:rsid w:val="00734F51"/>
    <w:rsid w:val="007D63FA"/>
    <w:rsid w:val="007F706B"/>
    <w:rsid w:val="00816711"/>
    <w:rsid w:val="00826195"/>
    <w:rsid w:val="008472A3"/>
    <w:rsid w:val="00876497"/>
    <w:rsid w:val="009040AD"/>
    <w:rsid w:val="00934D60"/>
    <w:rsid w:val="00A73286"/>
    <w:rsid w:val="00B45330"/>
    <w:rsid w:val="00B93533"/>
    <w:rsid w:val="00BC4863"/>
    <w:rsid w:val="00BD3FB4"/>
    <w:rsid w:val="00BE051D"/>
    <w:rsid w:val="00C046B3"/>
    <w:rsid w:val="00D11F6E"/>
    <w:rsid w:val="00D14CED"/>
    <w:rsid w:val="00E40607"/>
    <w:rsid w:val="00E4263C"/>
    <w:rsid w:val="00E466FD"/>
    <w:rsid w:val="00F63099"/>
    <w:rsid w:val="00F7053E"/>
    <w:rsid w:val="00F90810"/>
    <w:rsid w:val="00FD5EA5"/>
    <w:rsid w:val="00FF42DD"/>
    <w:rsid w:val="011DF4EB"/>
    <w:rsid w:val="01B165CE"/>
    <w:rsid w:val="0217304F"/>
    <w:rsid w:val="02515359"/>
    <w:rsid w:val="030806B1"/>
    <w:rsid w:val="03490091"/>
    <w:rsid w:val="03D70EC9"/>
    <w:rsid w:val="04B425C4"/>
    <w:rsid w:val="04B85AFF"/>
    <w:rsid w:val="05AB50DB"/>
    <w:rsid w:val="06075F29"/>
    <w:rsid w:val="072729B8"/>
    <w:rsid w:val="07D6476B"/>
    <w:rsid w:val="087232C3"/>
    <w:rsid w:val="08D6542E"/>
    <w:rsid w:val="08ED34FD"/>
    <w:rsid w:val="093446A7"/>
    <w:rsid w:val="0AF22185"/>
    <w:rsid w:val="0B1835C3"/>
    <w:rsid w:val="0B63273E"/>
    <w:rsid w:val="0BD91CE7"/>
    <w:rsid w:val="0C6B60D7"/>
    <w:rsid w:val="0DE526A7"/>
    <w:rsid w:val="0E5C7E9D"/>
    <w:rsid w:val="0EEC791B"/>
    <w:rsid w:val="0F272A69"/>
    <w:rsid w:val="0FA436B7"/>
    <w:rsid w:val="0FBBC6D8"/>
    <w:rsid w:val="10C02711"/>
    <w:rsid w:val="1295728D"/>
    <w:rsid w:val="12ED74AA"/>
    <w:rsid w:val="130B6D76"/>
    <w:rsid w:val="13236AF1"/>
    <w:rsid w:val="13D6674E"/>
    <w:rsid w:val="150C1E94"/>
    <w:rsid w:val="15D94F21"/>
    <w:rsid w:val="15E47716"/>
    <w:rsid w:val="1680064E"/>
    <w:rsid w:val="17436509"/>
    <w:rsid w:val="1AA11230"/>
    <w:rsid w:val="1B2D6269"/>
    <w:rsid w:val="1BF9394B"/>
    <w:rsid w:val="1BF9AB71"/>
    <w:rsid w:val="1C361957"/>
    <w:rsid w:val="1DA24124"/>
    <w:rsid w:val="1DFE30C6"/>
    <w:rsid w:val="1FC81833"/>
    <w:rsid w:val="20C2797E"/>
    <w:rsid w:val="215B059A"/>
    <w:rsid w:val="24606B41"/>
    <w:rsid w:val="246736EB"/>
    <w:rsid w:val="24840815"/>
    <w:rsid w:val="25C17900"/>
    <w:rsid w:val="261144B9"/>
    <w:rsid w:val="27B435B3"/>
    <w:rsid w:val="27ED6C10"/>
    <w:rsid w:val="281C288D"/>
    <w:rsid w:val="289A6D28"/>
    <w:rsid w:val="2B795B9C"/>
    <w:rsid w:val="2C0C7CCC"/>
    <w:rsid w:val="2CAC25FF"/>
    <w:rsid w:val="2DA61BF1"/>
    <w:rsid w:val="2ECF569F"/>
    <w:rsid w:val="2F0902B7"/>
    <w:rsid w:val="3025112D"/>
    <w:rsid w:val="30FA7491"/>
    <w:rsid w:val="319E78FD"/>
    <w:rsid w:val="339B1A7D"/>
    <w:rsid w:val="33D421BD"/>
    <w:rsid w:val="34527864"/>
    <w:rsid w:val="356065C1"/>
    <w:rsid w:val="35741F7B"/>
    <w:rsid w:val="35927D49"/>
    <w:rsid w:val="36647739"/>
    <w:rsid w:val="36722108"/>
    <w:rsid w:val="37736187"/>
    <w:rsid w:val="37EC4B4C"/>
    <w:rsid w:val="3A7D25F4"/>
    <w:rsid w:val="3B6C128B"/>
    <w:rsid w:val="3BF42FA2"/>
    <w:rsid w:val="3C1B3849"/>
    <w:rsid w:val="3DBE0E38"/>
    <w:rsid w:val="3DCF2C73"/>
    <w:rsid w:val="3E3B322A"/>
    <w:rsid w:val="3EB7365E"/>
    <w:rsid w:val="3EBE2D3F"/>
    <w:rsid w:val="3ED7D01C"/>
    <w:rsid w:val="3EE73D98"/>
    <w:rsid w:val="3FFFF7A9"/>
    <w:rsid w:val="40D7777E"/>
    <w:rsid w:val="41D779C0"/>
    <w:rsid w:val="436E421B"/>
    <w:rsid w:val="43E353FE"/>
    <w:rsid w:val="45E92E66"/>
    <w:rsid w:val="46845245"/>
    <w:rsid w:val="46F216C3"/>
    <w:rsid w:val="48567BBA"/>
    <w:rsid w:val="48604985"/>
    <w:rsid w:val="48C332AF"/>
    <w:rsid w:val="48DD1B53"/>
    <w:rsid w:val="49857111"/>
    <w:rsid w:val="498A72A0"/>
    <w:rsid w:val="49DD6CEB"/>
    <w:rsid w:val="4C824703"/>
    <w:rsid w:val="4CC01CF8"/>
    <w:rsid w:val="4CFD75DE"/>
    <w:rsid w:val="4D533669"/>
    <w:rsid w:val="4D611881"/>
    <w:rsid w:val="4DB67BAD"/>
    <w:rsid w:val="4DBF710D"/>
    <w:rsid w:val="4DDB0C16"/>
    <w:rsid w:val="4E585190"/>
    <w:rsid w:val="4E626EA5"/>
    <w:rsid w:val="4F7823A7"/>
    <w:rsid w:val="4F7D0643"/>
    <w:rsid w:val="50CB3BDA"/>
    <w:rsid w:val="511505E7"/>
    <w:rsid w:val="5275657D"/>
    <w:rsid w:val="53701092"/>
    <w:rsid w:val="53DE53F7"/>
    <w:rsid w:val="549363D0"/>
    <w:rsid w:val="54D26C3D"/>
    <w:rsid w:val="54DD7AC9"/>
    <w:rsid w:val="55413F6A"/>
    <w:rsid w:val="558A3AEC"/>
    <w:rsid w:val="55FF4F39"/>
    <w:rsid w:val="563C0C84"/>
    <w:rsid w:val="567C47AD"/>
    <w:rsid w:val="568C7EFA"/>
    <w:rsid w:val="5721053D"/>
    <w:rsid w:val="5A320350"/>
    <w:rsid w:val="5A4E1134"/>
    <w:rsid w:val="5A8F5421"/>
    <w:rsid w:val="5AB377AC"/>
    <w:rsid w:val="5ADB7A9F"/>
    <w:rsid w:val="5BDF7AA8"/>
    <w:rsid w:val="5CC770F3"/>
    <w:rsid w:val="5E606197"/>
    <w:rsid w:val="5E758AD3"/>
    <w:rsid w:val="5F5B3889"/>
    <w:rsid w:val="5F7404E1"/>
    <w:rsid w:val="5F7BBE1B"/>
    <w:rsid w:val="60B85CFA"/>
    <w:rsid w:val="61AC7C2D"/>
    <w:rsid w:val="61F32521"/>
    <w:rsid w:val="63F6661D"/>
    <w:rsid w:val="64F94FB6"/>
    <w:rsid w:val="64FF0119"/>
    <w:rsid w:val="650C61D5"/>
    <w:rsid w:val="65183212"/>
    <w:rsid w:val="65AC0421"/>
    <w:rsid w:val="67090219"/>
    <w:rsid w:val="6754015D"/>
    <w:rsid w:val="67885F66"/>
    <w:rsid w:val="67D469E8"/>
    <w:rsid w:val="685D233B"/>
    <w:rsid w:val="69961B9A"/>
    <w:rsid w:val="69C0748D"/>
    <w:rsid w:val="6A7D30C3"/>
    <w:rsid w:val="6B9261CD"/>
    <w:rsid w:val="6B9A71CB"/>
    <w:rsid w:val="6BCB1BF4"/>
    <w:rsid w:val="6BCC0CB3"/>
    <w:rsid w:val="6C45316D"/>
    <w:rsid w:val="6CBF87B4"/>
    <w:rsid w:val="6DC54609"/>
    <w:rsid w:val="6DED96DF"/>
    <w:rsid w:val="6DEFBAE0"/>
    <w:rsid w:val="6E372E5F"/>
    <w:rsid w:val="6E786ABC"/>
    <w:rsid w:val="6FDF5799"/>
    <w:rsid w:val="710A7485"/>
    <w:rsid w:val="71394751"/>
    <w:rsid w:val="72131803"/>
    <w:rsid w:val="723024E6"/>
    <w:rsid w:val="73026B48"/>
    <w:rsid w:val="74566BED"/>
    <w:rsid w:val="74CE550B"/>
    <w:rsid w:val="767FE0B3"/>
    <w:rsid w:val="76CA40F3"/>
    <w:rsid w:val="77527FDF"/>
    <w:rsid w:val="77FFCFC3"/>
    <w:rsid w:val="78410251"/>
    <w:rsid w:val="785A2CB0"/>
    <w:rsid w:val="793FB7A1"/>
    <w:rsid w:val="79777545"/>
    <w:rsid w:val="7A9C06E1"/>
    <w:rsid w:val="7AB91678"/>
    <w:rsid w:val="7B8F578C"/>
    <w:rsid w:val="7B9A66EF"/>
    <w:rsid w:val="7BC7720A"/>
    <w:rsid w:val="7BE411F0"/>
    <w:rsid w:val="7BFFD823"/>
    <w:rsid w:val="7C7918BC"/>
    <w:rsid w:val="7CC03C0C"/>
    <w:rsid w:val="7D8E8A18"/>
    <w:rsid w:val="7EBDA18C"/>
    <w:rsid w:val="7EE72273"/>
    <w:rsid w:val="7EF7CDD2"/>
    <w:rsid w:val="7F7BEB9D"/>
    <w:rsid w:val="7FBF2495"/>
    <w:rsid w:val="7FDCAB43"/>
    <w:rsid w:val="7FE91E78"/>
    <w:rsid w:val="7FFDE69B"/>
    <w:rsid w:val="9CBD0B1A"/>
    <w:rsid w:val="9EF6604C"/>
    <w:rsid w:val="A7F9C1DE"/>
    <w:rsid w:val="B593FB7D"/>
    <w:rsid w:val="BCB7048F"/>
    <w:rsid w:val="BDEE785D"/>
    <w:rsid w:val="BF8E36EE"/>
    <w:rsid w:val="BFDFB85E"/>
    <w:rsid w:val="BFF5AD43"/>
    <w:rsid w:val="BFF739EC"/>
    <w:rsid w:val="D7FFD2F4"/>
    <w:rsid w:val="DDEFBA43"/>
    <w:rsid w:val="DEAFB90F"/>
    <w:rsid w:val="DF21B821"/>
    <w:rsid w:val="DFD76A11"/>
    <w:rsid w:val="E9F71F09"/>
    <w:rsid w:val="EAFD8D58"/>
    <w:rsid w:val="EB6C770B"/>
    <w:rsid w:val="EBCD181E"/>
    <w:rsid w:val="EF7C48A7"/>
    <w:rsid w:val="EFFFDD70"/>
    <w:rsid w:val="F1B778F1"/>
    <w:rsid w:val="F3FF743F"/>
    <w:rsid w:val="F4FF55F7"/>
    <w:rsid w:val="F7FD911C"/>
    <w:rsid w:val="F9DF2CA6"/>
    <w:rsid w:val="FB3326CC"/>
    <w:rsid w:val="FBCE4D19"/>
    <w:rsid w:val="FDBF10AA"/>
    <w:rsid w:val="FEE84185"/>
    <w:rsid w:val="FF6B92DC"/>
    <w:rsid w:val="FFBC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after="156" w:afterLines="50" w:line="640" w:lineRule="exact"/>
      <w:outlineLvl w:val="0"/>
    </w:pPr>
    <w:rPr>
      <w:rFonts w:ascii="方正小标宋简体" w:eastAsia="方正小标宋简体"/>
      <w:sz w:val="44"/>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style>
  <w:style w:type="paragraph" w:styleId="4">
    <w:name w:val="annotation text"/>
    <w:basedOn w:val="1"/>
    <w:qFormat/>
    <w:uiPriority w:val="0"/>
    <w:pPr>
      <w:jc w:val="left"/>
    </w:pPr>
  </w:style>
  <w:style w:type="paragraph" w:styleId="5">
    <w:name w:val="Body Text"/>
    <w:basedOn w:val="1"/>
    <w:link w:val="18"/>
    <w:unhideWhenUsed/>
    <w:qFormat/>
    <w:uiPriority w:val="99"/>
    <w:pPr>
      <w:spacing w:after="120"/>
    </w:p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leftChars="200"/>
    </w:pPr>
    <w:rPr>
      <w:rFonts w:ascii="Times New Roman" w:hAnsi="Times New Roman" w:eastAsia="宋体"/>
      <w:sz w:val="30"/>
    </w:rPr>
  </w:style>
  <w:style w:type="paragraph" w:styleId="9">
    <w:name w:val="Body Text First Indent"/>
    <w:basedOn w:val="5"/>
    <w:qFormat/>
    <w:uiPriority w:val="0"/>
    <w:pPr>
      <w:ind w:firstLine="420" w:firstLineChars="1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qFormat/>
    <w:uiPriority w:val="0"/>
    <w:rPr>
      <w:rFonts w:ascii="Times New Roman" w:hAnsi="Times New Roman" w:eastAsia="宋体" w:cs="Simplified Arabic"/>
      <w:sz w:val="24"/>
      <w:szCs w:val="24"/>
      <w:lang w:val="en-GB" w:bidi="ar-AE"/>
    </w:rPr>
  </w:style>
  <w:style w:type="paragraph" w:customStyle="1" w:styleId="14">
    <w:name w:val="名称2"/>
    <w:basedOn w:val="15"/>
    <w:qFormat/>
    <w:uiPriority w:val="0"/>
    <w:pPr>
      <w:spacing w:after="312" w:afterLines="100"/>
    </w:pPr>
    <w:rPr>
      <w:b w:val="0"/>
      <w:sz w:val="20"/>
    </w:rPr>
  </w:style>
  <w:style w:type="paragraph" w:customStyle="1" w:styleId="15">
    <w:name w:val="名称"/>
    <w:basedOn w:val="1"/>
    <w:qFormat/>
    <w:uiPriority w:val="0"/>
    <w:pPr>
      <w:jc w:val="center"/>
    </w:pPr>
    <w:rPr>
      <w:b/>
      <w:kern w:val="0"/>
      <w:sz w:val="44"/>
      <w:szCs w:val="20"/>
    </w:rPr>
  </w:style>
  <w:style w:type="character" w:customStyle="1" w:styleId="16">
    <w:name w:val="页眉 字符"/>
    <w:basedOn w:val="12"/>
    <w:link w:val="7"/>
    <w:qFormat/>
    <w:uiPriority w:val="0"/>
    <w:rPr>
      <w:rFonts w:ascii="Times New Roman" w:hAnsi="Times New Roman" w:eastAsia="宋体" w:cs="Times New Roman"/>
      <w:kern w:val="2"/>
      <w:sz w:val="18"/>
      <w:szCs w:val="18"/>
    </w:rPr>
  </w:style>
  <w:style w:type="character" w:customStyle="1" w:styleId="17">
    <w:name w:val="页脚 字符"/>
    <w:basedOn w:val="12"/>
    <w:link w:val="6"/>
    <w:qFormat/>
    <w:uiPriority w:val="0"/>
    <w:rPr>
      <w:rFonts w:ascii="Times New Roman" w:hAnsi="Times New Roman" w:eastAsia="宋体" w:cs="Times New Roman"/>
      <w:kern w:val="2"/>
      <w:sz w:val="18"/>
      <w:szCs w:val="18"/>
    </w:rPr>
  </w:style>
  <w:style w:type="character" w:customStyle="1" w:styleId="18">
    <w:name w:val="正文文本 字符"/>
    <w:basedOn w:val="12"/>
    <w:link w:val="5"/>
    <w:qFormat/>
    <w:uiPriority w:val="99"/>
    <w:rPr>
      <w:rFonts w:ascii="Times New Roman" w:hAnsi="Times New Roman" w:eastAsia="宋体" w:cs="Times New Roman"/>
      <w:kern w:val="2"/>
      <w:sz w:val="21"/>
      <w:szCs w:val="24"/>
    </w:rPr>
  </w:style>
  <w:style w:type="paragraph" w:styleId="19">
    <w:name w:val="List Paragraph"/>
    <w:basedOn w:val="1"/>
    <w:qFormat/>
    <w:uiPriority w:val="99"/>
    <w:pPr>
      <w:ind w:firstLine="420" w:firstLineChars="200"/>
    </w:pPr>
  </w:style>
  <w:style w:type="paragraph" w:customStyle="1" w:styleId="20">
    <w:name w:val="Footer Right"/>
    <w:basedOn w:val="6"/>
    <w:qFormat/>
    <w:uiPriority w:val="0"/>
    <w:pPr>
      <w:jc w:val="right"/>
    </w:pPr>
  </w:style>
  <w:style w:type="paragraph" w:customStyle="1" w:styleId="21">
    <w:name w:val="KWMCN-标准"/>
    <w:qFormat/>
    <w:uiPriority w:val="0"/>
    <w:pPr>
      <w:adjustRightInd w:val="0"/>
      <w:snapToGrid w:val="0"/>
      <w:spacing w:after="360" w:line="320" w:lineRule="atLeast"/>
      <w:jc w:val="both"/>
    </w:pPr>
    <w:rPr>
      <w:rFonts w:ascii="Arial" w:hAnsi="Arial" w:eastAsia="楷体_GB2312" w:cstheme="minorBidi"/>
      <w:kern w:val="2"/>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1808</Words>
  <Characters>1936</Characters>
  <Lines>1</Lines>
  <Paragraphs>1</Paragraphs>
  <TotalTime>80</TotalTime>
  <ScaleCrop>false</ScaleCrop>
  <LinksUpToDate>false</LinksUpToDate>
  <CharactersWithSpaces>2060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2023-02-25T09:34:00Z</dcterms:created>
  <dc:creator>张斌（反垄断处）</dc:creator>
  <cp:lastModifiedBy>胡翌婧</cp:lastModifiedBy>
  <cp:lastPrinted>2024-04-04T01:34:00Z</cp:lastPrinted>
  <dcterms:modified xsi:type="dcterms:W3CDTF">2025-05-16T02:14:48Z</dcterms:modified>
  <dc:title>关于经营者集中反垄断审查案件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8E500D6084004BE0B6363C43A3C5F6EE_13</vt:lpwstr>
  </property>
  <property fmtid="{D5CDD505-2E9C-101B-9397-08002B2CF9AE}" pid="4" name="KSOTemplateDocerSaveRecord">
    <vt:lpwstr>eyJoZGlkIjoiMTgyY2Y5Y2UxZjkwY2NiYzg1MTM4ZmQzOTFhYWJhY2IiLCJ1c2VySWQiOiIyNDQ2MzYxMzgifQ==</vt:lpwstr>
  </property>
</Properties>
</file>