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EE11" w14:textId="77777777" w:rsidR="00362801" w:rsidRDefault="00000000">
      <w:pPr>
        <w:jc w:val="center"/>
        <w:rPr>
          <w:rFonts w:ascii="黑体" w:eastAsia="黑体" w:hAnsi="黑体" w:cs="黑体" w:hint="eastAsia"/>
          <w:bCs/>
          <w:sz w:val="36"/>
          <w:szCs w:val="36"/>
        </w:rPr>
      </w:pPr>
      <w:r>
        <w:rPr>
          <w:rFonts w:ascii="黑体" w:eastAsia="黑体" w:hAnsi="黑体" w:cs="黑体" w:hint="eastAsia"/>
          <w:bCs/>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607"/>
        <w:gridCol w:w="6093"/>
      </w:tblGrid>
      <w:tr w:rsidR="00362801" w14:paraId="1B93290A" w14:textId="77777777">
        <w:trPr>
          <w:trHeight w:val="740"/>
        </w:trPr>
        <w:tc>
          <w:tcPr>
            <w:tcW w:w="1940" w:type="dxa"/>
            <w:shd w:val="clear" w:color="auto" w:fill="D9D9D9"/>
            <w:vAlign w:val="center"/>
          </w:tcPr>
          <w:p w14:paraId="2E290C92" w14:textId="77777777" w:rsidR="00362801" w:rsidRDefault="00000000">
            <w:pPr>
              <w:pStyle w:val="a0"/>
              <w:adjustRightInd w:val="0"/>
              <w:snapToGrid w:val="0"/>
              <w:spacing w:after="0"/>
              <w:rPr>
                <w:rFonts w:ascii="宋体" w:hAnsi="宋体" w:cs="宋体" w:hint="eastAsia"/>
                <w:bCs/>
                <w:color w:val="000000"/>
                <w:lang w:val="en-US"/>
              </w:rPr>
            </w:pPr>
            <w:r>
              <w:rPr>
                <w:rFonts w:ascii="宋体" w:hAnsi="宋体" w:cs="宋体" w:hint="eastAsia"/>
                <w:bCs/>
                <w:color w:val="000000"/>
              </w:rPr>
              <w:t>案件名称</w:t>
            </w:r>
          </w:p>
        </w:tc>
        <w:tc>
          <w:tcPr>
            <w:tcW w:w="7700" w:type="dxa"/>
            <w:gridSpan w:val="2"/>
            <w:vAlign w:val="center"/>
          </w:tcPr>
          <w:p w14:paraId="77D40365" w14:textId="77777777" w:rsidR="00362801" w:rsidRDefault="00000000">
            <w:pPr>
              <w:adjustRightInd w:val="0"/>
              <w:snapToGrid w:val="0"/>
              <w:spacing w:after="0"/>
              <w:rPr>
                <w:rFonts w:ascii="宋体" w:hAnsi="宋体" w:cs="宋体" w:hint="eastAsia"/>
                <w:bCs/>
                <w:color w:val="000000"/>
                <w:lang w:val="en-US"/>
              </w:rPr>
            </w:pPr>
            <w:r>
              <w:rPr>
                <w:rFonts w:ascii="宋体" w:hAnsi="宋体" w:cs="宋体" w:hint="eastAsia"/>
                <w:bCs/>
                <w:color w:val="000000"/>
                <w:lang w:val="en-US"/>
              </w:rPr>
              <w:t>中国石油集团济柴动力有限公司与宁德时代新能源科技股份有限公司新设合营企业案</w:t>
            </w:r>
          </w:p>
        </w:tc>
      </w:tr>
      <w:tr w:rsidR="00362801" w14:paraId="4F819B62" w14:textId="77777777">
        <w:trPr>
          <w:trHeight w:val="1391"/>
        </w:trPr>
        <w:tc>
          <w:tcPr>
            <w:tcW w:w="1940" w:type="dxa"/>
            <w:shd w:val="clear" w:color="auto" w:fill="D9D9D9"/>
            <w:vAlign w:val="center"/>
          </w:tcPr>
          <w:p w14:paraId="779A151C"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交易概况（限200字内）</w:t>
            </w:r>
          </w:p>
        </w:tc>
        <w:tc>
          <w:tcPr>
            <w:tcW w:w="7700" w:type="dxa"/>
            <w:gridSpan w:val="2"/>
            <w:vAlign w:val="center"/>
          </w:tcPr>
          <w:p w14:paraId="6D28C104" w14:textId="14C8B155" w:rsidR="00362801" w:rsidRDefault="00000000">
            <w:pPr>
              <w:widowControl w:val="0"/>
              <w:adjustRightInd w:val="0"/>
              <w:snapToGrid w:val="0"/>
              <w:spacing w:after="0"/>
              <w:rPr>
                <w:rFonts w:ascii="宋体" w:hAnsi="宋体" w:cs="宋体" w:hint="eastAsia"/>
              </w:rPr>
            </w:pPr>
            <w:r>
              <w:rPr>
                <w:rFonts w:ascii="宋体" w:hAnsi="宋体" w:cs="宋体" w:hint="eastAsia"/>
              </w:rPr>
              <w:t>中国石油集团济柴动力有限公司</w:t>
            </w:r>
            <w:r>
              <w:rPr>
                <w:rFonts w:ascii="宋体" w:hAnsi="宋体" w:cs="宋体" w:hint="eastAsia"/>
                <w:bCs/>
                <w:color w:val="000000"/>
              </w:rPr>
              <w:t>（“济柴动力”）</w:t>
            </w:r>
            <w:r>
              <w:rPr>
                <w:rFonts w:ascii="宋体" w:hAnsi="宋体" w:cs="宋体" w:hint="eastAsia"/>
              </w:rPr>
              <w:t>与宁德时代新能源科技股份有限公司</w:t>
            </w:r>
            <w:r>
              <w:rPr>
                <w:rFonts w:ascii="宋体" w:hAnsi="宋体" w:cs="宋体" w:hint="eastAsia"/>
                <w:bCs/>
                <w:color w:val="000000"/>
              </w:rPr>
              <w:t>（“宁德时代”）签署</w:t>
            </w:r>
            <w:r>
              <w:rPr>
                <w:bCs/>
                <w:color w:val="000000"/>
              </w:rPr>
              <w:t>合资协议</w:t>
            </w:r>
            <w:r>
              <w:rPr>
                <w:rFonts w:hint="eastAsia"/>
                <w:bCs/>
                <w:color w:val="000000"/>
              </w:rPr>
              <w:t>，</w:t>
            </w:r>
            <w:r w:rsidR="00CF541D">
              <w:rPr>
                <w:rFonts w:ascii="宋体" w:hAnsi="宋体" w:cs="宋体" w:hint="eastAsia"/>
                <w:bCs/>
                <w:color w:val="000000"/>
              </w:rPr>
              <w:t>拟</w:t>
            </w:r>
            <w:r>
              <w:rPr>
                <w:rFonts w:hint="eastAsia"/>
                <w:bCs/>
                <w:color w:val="000000"/>
              </w:rPr>
              <w:t>共同设立一家合营企业。合营企业主要在</w:t>
            </w:r>
            <w:r>
              <w:rPr>
                <w:bCs/>
                <w:color w:val="000000"/>
              </w:rPr>
              <w:t>中国境内从事</w:t>
            </w:r>
            <w:r>
              <w:t>锂离子电池储能系统产品的生产制造业务</w:t>
            </w:r>
            <w:r>
              <w:rPr>
                <w:bCs/>
                <w:color w:val="000000"/>
              </w:rPr>
              <w:t>。</w:t>
            </w:r>
            <w:r>
              <w:rPr>
                <w:rFonts w:hint="eastAsia"/>
                <w:bCs/>
                <w:color w:val="000000"/>
              </w:rPr>
              <w:t>本次交易后，</w:t>
            </w:r>
            <w:r>
              <w:rPr>
                <w:bCs/>
                <w:color w:val="000000"/>
              </w:rPr>
              <w:t>济柴动力</w:t>
            </w:r>
            <w:r>
              <w:rPr>
                <w:rFonts w:hint="eastAsia"/>
                <w:bCs/>
                <w:color w:val="000000"/>
              </w:rPr>
              <w:t>、</w:t>
            </w:r>
            <w:r>
              <w:rPr>
                <w:bCs/>
                <w:color w:val="000000"/>
              </w:rPr>
              <w:t>宁德时代将</w:t>
            </w:r>
            <w:r>
              <w:rPr>
                <w:rFonts w:hint="eastAsia"/>
                <w:bCs/>
                <w:color w:val="000000"/>
              </w:rPr>
              <w:t>分别</w:t>
            </w:r>
            <w:r>
              <w:rPr>
                <w:bCs/>
                <w:color w:val="000000"/>
              </w:rPr>
              <w:t>持有合营企业</w:t>
            </w:r>
            <w:r>
              <w:rPr>
                <w:bCs/>
                <w:color w:val="000000"/>
              </w:rPr>
              <w:t>60%</w:t>
            </w:r>
            <w:r>
              <w:rPr>
                <w:rFonts w:hint="eastAsia"/>
                <w:bCs/>
                <w:color w:val="000000"/>
              </w:rPr>
              <w:t>、</w:t>
            </w:r>
            <w:r>
              <w:rPr>
                <w:bCs/>
                <w:color w:val="000000"/>
              </w:rPr>
              <w:t>40%</w:t>
            </w:r>
            <w:r>
              <w:rPr>
                <w:bCs/>
                <w:color w:val="000000"/>
              </w:rPr>
              <w:t>的股权</w:t>
            </w:r>
            <w:r>
              <w:rPr>
                <w:rFonts w:hint="eastAsia"/>
                <w:bCs/>
                <w:color w:val="000000"/>
              </w:rPr>
              <w:t>，并</w:t>
            </w:r>
            <w:r>
              <w:rPr>
                <w:bCs/>
                <w:color w:val="000000"/>
              </w:rPr>
              <w:t>共同控制</w:t>
            </w:r>
            <w:r>
              <w:rPr>
                <w:rFonts w:hint="eastAsia"/>
                <w:bCs/>
                <w:color w:val="000000"/>
              </w:rPr>
              <w:t>该</w:t>
            </w:r>
            <w:r>
              <w:rPr>
                <w:bCs/>
                <w:color w:val="000000"/>
              </w:rPr>
              <w:t>合营企业</w:t>
            </w:r>
            <w:r>
              <w:rPr>
                <w:rFonts w:hint="eastAsia"/>
                <w:color w:val="000000"/>
              </w:rPr>
              <w:t>。</w:t>
            </w:r>
          </w:p>
        </w:tc>
      </w:tr>
      <w:tr w:rsidR="00362801" w14:paraId="1DFF23F6" w14:textId="77777777">
        <w:trPr>
          <w:trHeight w:val="942"/>
        </w:trPr>
        <w:tc>
          <w:tcPr>
            <w:tcW w:w="1940" w:type="dxa"/>
            <w:vMerge w:val="restart"/>
            <w:shd w:val="clear" w:color="auto" w:fill="D9D9D9"/>
            <w:vAlign w:val="center"/>
          </w:tcPr>
          <w:p w14:paraId="3A32CBDA"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t>参与集中的经营者简介（每个限</w:t>
            </w:r>
            <w:r>
              <w:rPr>
                <w:rFonts w:ascii="宋体" w:hAnsi="宋体" w:cs="宋体" w:hint="eastAsia"/>
                <w:bCs/>
                <w:color w:val="000000"/>
                <w:lang w:val="en-US" w:eastAsia="zh-CN"/>
              </w:rPr>
              <w:t>100字以内</w:t>
            </w:r>
            <w:r>
              <w:rPr>
                <w:rFonts w:ascii="宋体" w:hAnsi="宋体" w:cs="宋体" w:hint="eastAsia"/>
                <w:bCs/>
                <w:color w:val="000000"/>
                <w:lang w:eastAsia="zh-CN"/>
              </w:rPr>
              <w:t>）</w:t>
            </w:r>
          </w:p>
        </w:tc>
        <w:tc>
          <w:tcPr>
            <w:tcW w:w="1607" w:type="dxa"/>
            <w:vAlign w:val="center"/>
          </w:tcPr>
          <w:p w14:paraId="49C34E73" w14:textId="77777777" w:rsidR="00362801" w:rsidRDefault="00000000">
            <w:pPr>
              <w:pStyle w:val="a0"/>
              <w:adjustRightInd w:val="0"/>
              <w:snapToGrid w:val="0"/>
              <w:spacing w:after="0"/>
              <w:rPr>
                <w:rFonts w:ascii="宋体" w:hAnsi="宋体" w:cs="宋体" w:hint="eastAsia"/>
                <w:bCs/>
                <w:color w:val="000000"/>
                <w:lang w:eastAsia="zh-CN"/>
              </w:rPr>
            </w:pPr>
            <w:r>
              <w:rPr>
                <w:rFonts w:ascii="宋体" w:hAnsi="宋体" w:cs="宋体" w:hint="eastAsia"/>
                <w:bCs/>
                <w:color w:val="000000"/>
                <w:lang w:val="en-US" w:eastAsia="zh-CN"/>
              </w:rPr>
              <w:t>1.</w:t>
            </w:r>
            <w:r>
              <w:rPr>
                <w:rFonts w:ascii="宋体" w:hAnsi="宋体" w:cs="宋体" w:hint="eastAsia"/>
                <w:bCs/>
                <w:color w:val="000000"/>
                <w:lang w:eastAsia="zh-CN"/>
              </w:rPr>
              <w:t>济柴动力</w:t>
            </w:r>
          </w:p>
        </w:tc>
        <w:tc>
          <w:tcPr>
            <w:tcW w:w="6093" w:type="dxa"/>
            <w:vAlign w:val="center"/>
          </w:tcPr>
          <w:p w14:paraId="64A56CF7" w14:textId="6C38F073" w:rsidR="00362801" w:rsidRDefault="00000000">
            <w:pPr>
              <w:pStyle w:val="a0"/>
              <w:adjustRightInd w:val="0"/>
              <w:snapToGrid w:val="0"/>
              <w:spacing w:after="0"/>
              <w:rPr>
                <w:rFonts w:ascii="宋体" w:hAnsi="宋体" w:cs="宋体" w:hint="eastAsia"/>
                <w:bCs/>
                <w:color w:val="000000"/>
                <w:lang w:eastAsia="zh-CN"/>
              </w:rPr>
            </w:pPr>
            <w:r>
              <w:rPr>
                <w:rFonts w:ascii="宋体" w:hAnsi="宋体" w:cs="宋体" w:hint="eastAsia"/>
                <w:bCs/>
                <w:color w:val="000000"/>
                <w:lang w:eastAsia="zh-CN"/>
              </w:rPr>
              <w:t>济柴动力</w:t>
            </w:r>
            <w:r>
              <w:rPr>
                <w:rFonts w:cs="Times New Roman"/>
                <w:bCs/>
                <w:color w:val="000000"/>
                <w:lang w:eastAsia="zh-CN"/>
              </w:rPr>
              <w:t>于</w:t>
            </w:r>
            <w:r>
              <w:rPr>
                <w:rFonts w:cs="Times New Roman"/>
                <w:bCs/>
                <w:color w:val="000000"/>
                <w:lang w:eastAsia="zh-CN"/>
              </w:rPr>
              <w:t>1991</w:t>
            </w:r>
            <w:r>
              <w:rPr>
                <w:rFonts w:cs="Times New Roman"/>
                <w:bCs/>
                <w:color w:val="000000"/>
                <w:lang w:eastAsia="zh-CN"/>
              </w:rPr>
              <w:t>年</w:t>
            </w:r>
            <w:r>
              <w:rPr>
                <w:rFonts w:cs="Times New Roman"/>
                <w:bCs/>
                <w:color w:val="000000"/>
                <w:lang w:eastAsia="zh-CN"/>
              </w:rPr>
              <w:t>5</w:t>
            </w:r>
            <w:r>
              <w:rPr>
                <w:rFonts w:cs="Times New Roman"/>
                <w:bCs/>
                <w:color w:val="000000"/>
                <w:lang w:eastAsia="zh-CN"/>
              </w:rPr>
              <w:t>月成</w:t>
            </w:r>
            <w:r>
              <w:rPr>
                <w:rFonts w:ascii="宋体" w:hAnsi="宋体" w:cs="宋体" w:hint="eastAsia"/>
                <w:bCs/>
                <w:color w:val="000000"/>
                <w:lang w:eastAsia="zh-CN"/>
              </w:rPr>
              <w:t>立于中国山东省，主要业务为生产和销售发动机、压缩机、新能源装备、智能装备，以及液力传动、燃气动力集成、电气控制、再制造等动力装备产品。</w:t>
            </w:r>
          </w:p>
          <w:p w14:paraId="39521BBE" w14:textId="77777777" w:rsidR="00362801" w:rsidRDefault="00000000">
            <w:pPr>
              <w:pStyle w:val="a0"/>
              <w:adjustRightInd w:val="0"/>
              <w:snapToGrid w:val="0"/>
              <w:spacing w:after="0"/>
              <w:rPr>
                <w:rFonts w:ascii="宋体" w:hAnsi="宋体" w:cs="宋体" w:hint="eastAsia"/>
                <w:b/>
                <w:i/>
                <w:iCs/>
                <w:color w:val="FF0000"/>
                <w:lang w:eastAsia="zh-CN"/>
              </w:rPr>
            </w:pPr>
            <w:r>
              <w:rPr>
                <w:rFonts w:ascii="宋体" w:hAnsi="宋体" w:cs="宋体" w:hint="eastAsia"/>
                <w:bCs/>
                <w:color w:val="000000"/>
                <w:lang w:eastAsia="zh-CN"/>
              </w:rPr>
              <w:t>济柴动力的最终控制人为中国石油天然气集团有限公司，主要业务为国内外石油天然气勘探开发、炼油化工、油气销售、管道运输、国际贸易、工程技术服务、工程建设、装备制造、金融服务、新能源开发等。</w:t>
            </w:r>
          </w:p>
        </w:tc>
      </w:tr>
      <w:tr w:rsidR="00362801" w14:paraId="0F56EB28" w14:textId="77777777">
        <w:trPr>
          <w:trHeight w:val="984"/>
        </w:trPr>
        <w:tc>
          <w:tcPr>
            <w:tcW w:w="1940" w:type="dxa"/>
            <w:vMerge/>
            <w:shd w:val="clear" w:color="auto" w:fill="D9D9D9"/>
            <w:vAlign w:val="center"/>
          </w:tcPr>
          <w:p w14:paraId="60136956"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1607" w:type="dxa"/>
            <w:vAlign w:val="center"/>
          </w:tcPr>
          <w:p w14:paraId="63BCE154" w14:textId="77777777" w:rsidR="00362801" w:rsidRDefault="00000000">
            <w:pPr>
              <w:pStyle w:val="a0"/>
              <w:adjustRightInd w:val="0"/>
              <w:snapToGrid w:val="0"/>
              <w:spacing w:after="0"/>
              <w:rPr>
                <w:rFonts w:ascii="宋体" w:hAnsi="宋体" w:cs="宋体" w:hint="eastAsia"/>
                <w:bCs/>
                <w:color w:val="000000"/>
                <w:lang w:eastAsia="zh-CN"/>
              </w:rPr>
            </w:pPr>
            <w:r>
              <w:rPr>
                <w:rFonts w:ascii="宋体" w:hAnsi="宋体" w:cs="宋体" w:hint="eastAsia"/>
                <w:bCs/>
                <w:color w:val="000000"/>
                <w:lang w:val="en-US" w:eastAsia="zh-CN"/>
              </w:rPr>
              <w:t>2.</w:t>
            </w:r>
            <w:r>
              <w:rPr>
                <w:rFonts w:ascii="宋体" w:hAnsi="宋体" w:cs="宋体" w:hint="eastAsia"/>
                <w:bCs/>
                <w:color w:val="000000"/>
                <w:lang w:eastAsia="zh-CN"/>
              </w:rPr>
              <w:t>宁德时代</w:t>
            </w:r>
          </w:p>
        </w:tc>
        <w:tc>
          <w:tcPr>
            <w:tcW w:w="6093" w:type="dxa"/>
            <w:vAlign w:val="center"/>
          </w:tcPr>
          <w:p w14:paraId="5FF66D74" w14:textId="0074E9E3" w:rsidR="00362801" w:rsidRDefault="00000000">
            <w:pPr>
              <w:adjustRightInd w:val="0"/>
              <w:snapToGrid w:val="0"/>
              <w:spacing w:after="0"/>
            </w:pPr>
            <w:r>
              <w:rPr>
                <w:rFonts w:ascii="宋体" w:hAnsi="宋体" w:hint="eastAsia"/>
              </w:rPr>
              <w:t>宁德时代于</w:t>
            </w:r>
            <w:r>
              <w:t>2011</w:t>
            </w:r>
            <w:r>
              <w:t>年</w:t>
            </w:r>
            <w:r>
              <w:t>12</w:t>
            </w:r>
            <w:r>
              <w:t>月</w:t>
            </w:r>
            <w:r>
              <w:t>16</w:t>
            </w:r>
            <w:r>
              <w:t>日成立于中国福建省，为深圳证券交易所上市企业</w:t>
            </w:r>
            <w:r>
              <w:rPr>
                <w:rFonts w:hint="eastAsia"/>
              </w:rPr>
              <w:t>，</w:t>
            </w:r>
            <w:r>
              <w:rPr>
                <w:rFonts w:ascii="宋体" w:hAnsi="宋体" w:hint="eastAsia"/>
              </w:rPr>
              <w:t>主要业务为动力电池、储能电池和电池回收利用产品的研发、生产和销售</w:t>
            </w:r>
            <w:r>
              <w:rPr>
                <w:rFonts w:hint="eastAsia"/>
              </w:rPr>
              <w:t>。</w:t>
            </w:r>
          </w:p>
          <w:p w14:paraId="0BD1EBFC" w14:textId="77777777" w:rsidR="00362801" w:rsidRDefault="00000000">
            <w:pPr>
              <w:adjustRightInd w:val="0"/>
              <w:snapToGrid w:val="0"/>
              <w:spacing w:after="0"/>
              <w:rPr>
                <w:rFonts w:ascii="宋体" w:hAnsi="宋体" w:cs="宋体" w:hint="eastAsia"/>
                <w:bCs/>
                <w:color w:val="000000"/>
              </w:rPr>
            </w:pPr>
            <w:r>
              <w:t>宁德时代的最终控制人为自然</w:t>
            </w:r>
            <w:r>
              <w:rPr>
                <w:rFonts w:ascii="宋体" w:hAnsi="宋体" w:hint="eastAsia"/>
              </w:rPr>
              <w:t>人，主要通过宁德时代及其关联企业开展业务。</w:t>
            </w:r>
          </w:p>
        </w:tc>
      </w:tr>
      <w:tr w:rsidR="00362801" w14:paraId="3742B1A7" w14:textId="77777777">
        <w:trPr>
          <w:trHeight w:val="279"/>
        </w:trPr>
        <w:tc>
          <w:tcPr>
            <w:tcW w:w="1940" w:type="dxa"/>
            <w:vMerge w:val="restart"/>
            <w:shd w:val="clear" w:color="auto" w:fill="D9D9D9"/>
            <w:vAlign w:val="center"/>
          </w:tcPr>
          <w:p w14:paraId="14881162" w14:textId="77777777" w:rsidR="00362801" w:rsidRDefault="00000000">
            <w:pPr>
              <w:pStyle w:val="a0"/>
              <w:adjustRightInd w:val="0"/>
              <w:snapToGrid w:val="0"/>
              <w:spacing w:after="0"/>
              <w:rPr>
                <w:rFonts w:ascii="宋体" w:hAnsi="宋体" w:cs="宋体" w:hint="eastAsia"/>
                <w:bCs/>
                <w:color w:val="000000"/>
                <w:lang w:eastAsia="zh-CN"/>
              </w:rPr>
            </w:pPr>
            <w:r>
              <w:rPr>
                <w:rFonts w:ascii="宋体" w:hAnsi="宋体" w:cs="宋体" w:hint="eastAsia"/>
                <w:bCs/>
                <w:color w:val="000000"/>
                <w:lang w:eastAsia="zh-CN"/>
              </w:rPr>
              <w:t>简易案件理由（可以单选，也可以多选）</w:t>
            </w:r>
          </w:p>
          <w:p w14:paraId="430FAAC0"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4B1672E6"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FE"/>
            </w:r>
            <w:r>
              <w:rPr>
                <w:rFonts w:ascii="宋体" w:hAnsi="宋体" w:cs="宋体" w:hint="eastAsia"/>
                <w:bCs/>
                <w:color w:val="000000"/>
                <w:lang w:eastAsia="zh-CN"/>
              </w:rPr>
              <w:t xml:space="preserve"> 1、在同一相关市场，所有参与集中的经营者所占市场份额之和小于15%。</w:t>
            </w:r>
          </w:p>
        </w:tc>
      </w:tr>
      <w:tr w:rsidR="00362801" w14:paraId="10601237" w14:textId="77777777">
        <w:trPr>
          <w:trHeight w:val="330"/>
        </w:trPr>
        <w:tc>
          <w:tcPr>
            <w:tcW w:w="1940" w:type="dxa"/>
            <w:vMerge/>
            <w:shd w:val="clear" w:color="auto" w:fill="D9D9D9"/>
            <w:vAlign w:val="center"/>
          </w:tcPr>
          <w:p w14:paraId="14A6342E"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472C7A63"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FE"/>
            </w:r>
            <w:r>
              <w:rPr>
                <w:rFonts w:ascii="宋体" w:hAnsi="宋体" w:cs="宋体" w:hint="eastAsia"/>
                <w:bCs/>
                <w:color w:val="000000"/>
                <w:lang w:eastAsia="zh-CN"/>
              </w:rPr>
              <w:t xml:space="preserve"> 2、存在上下游关系的参与集中的经营者，在上下游市场所占的市场份额均小于25%。</w:t>
            </w:r>
          </w:p>
        </w:tc>
      </w:tr>
      <w:tr w:rsidR="00362801" w14:paraId="2088D108" w14:textId="77777777">
        <w:trPr>
          <w:trHeight w:val="285"/>
        </w:trPr>
        <w:tc>
          <w:tcPr>
            <w:tcW w:w="1940" w:type="dxa"/>
            <w:vMerge/>
            <w:shd w:val="clear" w:color="auto" w:fill="D9D9D9"/>
            <w:vAlign w:val="center"/>
          </w:tcPr>
          <w:p w14:paraId="50A7912F"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4779A3AC"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3、不在同一相关市场、也不存在上下游关系的参与集中的经营者，在与交易有关的每个市场所占的份额均小于25%。</w:t>
            </w:r>
          </w:p>
        </w:tc>
      </w:tr>
      <w:tr w:rsidR="00362801" w14:paraId="2970F731" w14:textId="77777777">
        <w:trPr>
          <w:trHeight w:val="870"/>
        </w:trPr>
        <w:tc>
          <w:tcPr>
            <w:tcW w:w="1940" w:type="dxa"/>
            <w:vMerge/>
            <w:shd w:val="clear" w:color="auto" w:fill="D9D9D9"/>
            <w:vAlign w:val="center"/>
          </w:tcPr>
          <w:p w14:paraId="3BC7E7B0"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7F102539"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4、参与集中的经营者在中国境外设立合营企业，合营企业不在中国境内从事经济活动。</w:t>
            </w:r>
          </w:p>
        </w:tc>
      </w:tr>
      <w:tr w:rsidR="00362801" w14:paraId="27737287" w14:textId="77777777">
        <w:trPr>
          <w:trHeight w:val="264"/>
        </w:trPr>
        <w:tc>
          <w:tcPr>
            <w:tcW w:w="1940" w:type="dxa"/>
            <w:vMerge/>
            <w:shd w:val="clear" w:color="auto" w:fill="D9D9D9"/>
            <w:vAlign w:val="center"/>
          </w:tcPr>
          <w:p w14:paraId="6DC7D376"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26084CB5"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5、参与集中的经营者收购境外企业股权或资产的，该境外企业不在中国境内从事经济活动。</w:t>
            </w:r>
          </w:p>
        </w:tc>
      </w:tr>
      <w:tr w:rsidR="00362801" w14:paraId="4D1348AC" w14:textId="77777777">
        <w:trPr>
          <w:trHeight w:val="345"/>
        </w:trPr>
        <w:tc>
          <w:tcPr>
            <w:tcW w:w="1940" w:type="dxa"/>
            <w:vMerge/>
            <w:shd w:val="clear" w:color="auto" w:fill="D9D9D9"/>
            <w:vAlign w:val="center"/>
          </w:tcPr>
          <w:p w14:paraId="12FD766B" w14:textId="77777777" w:rsidR="00362801" w:rsidRDefault="00362801">
            <w:pPr>
              <w:pStyle w:val="a0"/>
              <w:adjustRightInd w:val="0"/>
              <w:snapToGrid w:val="0"/>
              <w:spacing w:after="0"/>
              <w:rPr>
                <w:rFonts w:ascii="宋体" w:hAnsi="宋体" w:cs="宋体" w:hint="eastAsia"/>
                <w:bCs/>
                <w:color w:val="000000"/>
                <w:lang w:val="en-US" w:eastAsia="zh-CN"/>
              </w:rPr>
            </w:pPr>
          </w:p>
        </w:tc>
        <w:tc>
          <w:tcPr>
            <w:tcW w:w="7700" w:type="dxa"/>
            <w:gridSpan w:val="2"/>
            <w:vAlign w:val="center"/>
          </w:tcPr>
          <w:p w14:paraId="20B4A464"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eastAsia="zh-CN"/>
              </w:rPr>
              <w:sym w:font="Wingdings" w:char="00A8"/>
            </w:r>
            <w:r>
              <w:rPr>
                <w:rFonts w:ascii="宋体" w:hAnsi="宋体" w:cs="宋体" w:hint="eastAsia"/>
                <w:bCs/>
                <w:color w:val="000000"/>
                <w:lang w:eastAsia="zh-CN"/>
              </w:rPr>
              <w:t xml:space="preserve"> 6、由两个以上的经营者共同控制的合营企业，通过集中被其中一个或一个以上经营者控制。</w:t>
            </w:r>
          </w:p>
        </w:tc>
      </w:tr>
      <w:tr w:rsidR="00362801" w14:paraId="5719460B" w14:textId="77777777">
        <w:trPr>
          <w:trHeight w:val="699"/>
        </w:trPr>
        <w:tc>
          <w:tcPr>
            <w:tcW w:w="1940" w:type="dxa"/>
            <w:shd w:val="clear" w:color="auto" w:fill="D9D9D9"/>
            <w:vAlign w:val="center"/>
          </w:tcPr>
          <w:p w14:paraId="77D7DF19" w14:textId="77777777" w:rsidR="00362801" w:rsidRDefault="00000000">
            <w:pPr>
              <w:pStyle w:val="a0"/>
              <w:adjustRightInd w:val="0"/>
              <w:snapToGrid w:val="0"/>
              <w:spacing w:after="0"/>
              <w:rPr>
                <w:rFonts w:ascii="宋体" w:hAnsi="宋体" w:cs="宋体" w:hint="eastAsia"/>
                <w:bCs/>
                <w:color w:val="000000"/>
                <w:lang w:val="en-US" w:eastAsia="zh-CN"/>
              </w:rPr>
            </w:pPr>
            <w:r>
              <w:rPr>
                <w:rFonts w:ascii="宋体" w:hAnsi="宋体" w:cs="宋体" w:hint="eastAsia"/>
                <w:bCs/>
                <w:color w:val="000000"/>
                <w:lang w:val="en-US" w:eastAsia="zh-CN"/>
              </w:rPr>
              <w:t>备注</w:t>
            </w:r>
          </w:p>
        </w:tc>
        <w:tc>
          <w:tcPr>
            <w:tcW w:w="7700" w:type="dxa"/>
            <w:gridSpan w:val="2"/>
            <w:vAlign w:val="center"/>
          </w:tcPr>
          <w:p w14:paraId="2F96C283" w14:textId="77777777" w:rsidR="00362801" w:rsidRDefault="00000000">
            <w:pPr>
              <w:pStyle w:val="a0"/>
              <w:adjustRightInd w:val="0"/>
              <w:snapToGrid w:val="0"/>
              <w:spacing w:after="0"/>
              <w:rPr>
                <w:rFonts w:cs="Times New Roman"/>
                <w:b/>
                <w:color w:val="000000"/>
                <w:lang w:eastAsia="zh-CN"/>
              </w:rPr>
            </w:pPr>
            <w:r>
              <w:rPr>
                <w:rFonts w:ascii="宋体" w:hAnsi="宋体" w:cs="宋体" w:hint="eastAsia"/>
                <w:b/>
                <w:color w:val="000000"/>
                <w:lang w:eastAsia="zh-CN"/>
              </w:rPr>
              <w:t>横向重叠：</w:t>
            </w:r>
          </w:p>
          <w:p w14:paraId="45B0DBF4" w14:textId="77777777" w:rsidR="00362801" w:rsidRDefault="00000000">
            <w:pPr>
              <w:pStyle w:val="a0"/>
              <w:adjustRightInd w:val="0"/>
              <w:snapToGrid w:val="0"/>
              <w:spacing w:after="0"/>
              <w:rPr>
                <w:rFonts w:cs="Times New Roman"/>
                <w:bCs/>
                <w:color w:val="000000"/>
                <w:lang w:eastAsia="zh-CN"/>
              </w:rPr>
            </w:pPr>
            <w:r>
              <w:rPr>
                <w:rFonts w:cs="Times New Roman"/>
                <w:bCs/>
                <w:color w:val="000000"/>
                <w:lang w:val="en-US" w:eastAsia="zh-CN"/>
              </w:rPr>
              <w:t>202</w:t>
            </w:r>
            <w:r>
              <w:rPr>
                <w:rFonts w:cs="Times New Roman" w:hint="eastAsia"/>
                <w:bCs/>
                <w:color w:val="000000"/>
                <w:lang w:val="en-US" w:eastAsia="zh-CN"/>
              </w:rPr>
              <w:t>4</w:t>
            </w:r>
            <w:r>
              <w:rPr>
                <w:rFonts w:cs="Times New Roman"/>
                <w:bCs/>
                <w:color w:val="000000"/>
                <w:lang w:val="en-US" w:eastAsia="zh-CN"/>
              </w:rPr>
              <w:t>年</w:t>
            </w:r>
            <w:r>
              <w:rPr>
                <w:rFonts w:cs="Times New Roman"/>
                <w:bCs/>
                <w:color w:val="000000"/>
                <w:lang w:eastAsia="zh-CN"/>
              </w:rPr>
              <w:t>中国</w:t>
            </w:r>
            <w:r>
              <w:rPr>
                <w:rFonts w:cs="Times New Roman" w:hint="eastAsia"/>
                <w:bCs/>
                <w:color w:val="000000"/>
                <w:lang w:eastAsia="zh-CN"/>
              </w:rPr>
              <w:t>境内</w:t>
            </w:r>
            <w:r>
              <w:rPr>
                <w:rFonts w:cs="Times New Roman"/>
                <w:bCs/>
                <w:color w:val="000000"/>
                <w:lang w:eastAsia="zh-CN"/>
              </w:rPr>
              <w:t>锂离子电池储能系统市场</w:t>
            </w:r>
          </w:p>
          <w:p w14:paraId="2CF2FA9B" w14:textId="77777777" w:rsidR="00362801" w:rsidRDefault="00000000">
            <w:pPr>
              <w:pStyle w:val="a0"/>
              <w:adjustRightInd w:val="0"/>
              <w:snapToGrid w:val="0"/>
              <w:spacing w:after="0"/>
              <w:rPr>
                <w:rFonts w:cs="Times New Roman"/>
                <w:bCs/>
                <w:color w:val="000000"/>
                <w:lang w:eastAsia="zh-CN"/>
              </w:rPr>
            </w:pPr>
            <w:r>
              <w:rPr>
                <w:rFonts w:cs="Times New Roman"/>
                <w:bCs/>
                <w:color w:val="000000"/>
                <w:lang w:eastAsia="zh-CN"/>
              </w:rPr>
              <w:t>济柴动力：</w:t>
            </w:r>
            <w:r>
              <w:rPr>
                <w:rFonts w:cs="Times New Roman" w:hint="eastAsia"/>
                <w:bCs/>
                <w:color w:val="000000"/>
                <w:lang w:eastAsia="zh-CN"/>
              </w:rPr>
              <w:t>0-5</w:t>
            </w:r>
            <w:r>
              <w:rPr>
                <w:rFonts w:cs="Times New Roman"/>
                <w:bCs/>
                <w:color w:val="000000"/>
                <w:lang w:eastAsia="zh-CN"/>
              </w:rPr>
              <w:t>%</w:t>
            </w:r>
            <w:r>
              <w:rPr>
                <w:rFonts w:cs="Times New Roman"/>
                <w:bCs/>
                <w:color w:val="000000"/>
                <w:lang w:eastAsia="zh-CN"/>
              </w:rPr>
              <w:t>，宁德时代：</w:t>
            </w:r>
            <w:r>
              <w:rPr>
                <w:rFonts w:cs="Times New Roman" w:hint="eastAsia"/>
                <w:bCs/>
                <w:color w:val="000000"/>
                <w:lang w:eastAsia="zh-CN"/>
              </w:rPr>
              <w:t>0-5</w:t>
            </w:r>
            <w:r>
              <w:rPr>
                <w:rFonts w:cs="Times New Roman"/>
                <w:bCs/>
                <w:color w:val="000000"/>
                <w:lang w:eastAsia="zh-CN"/>
              </w:rPr>
              <w:t>%</w:t>
            </w:r>
            <w:r>
              <w:rPr>
                <w:rFonts w:cs="Times New Roman"/>
                <w:bCs/>
                <w:color w:val="000000"/>
                <w:lang w:eastAsia="zh-CN"/>
              </w:rPr>
              <w:t>，各方合计：</w:t>
            </w:r>
            <w:r>
              <w:rPr>
                <w:rFonts w:cs="Times New Roman" w:hint="eastAsia"/>
                <w:bCs/>
                <w:color w:val="000000"/>
                <w:lang w:eastAsia="zh-CN"/>
              </w:rPr>
              <w:t>0-5</w:t>
            </w:r>
            <w:r>
              <w:rPr>
                <w:rFonts w:cs="Times New Roman"/>
                <w:bCs/>
                <w:color w:val="000000"/>
                <w:lang w:eastAsia="zh-CN"/>
              </w:rPr>
              <w:t>%</w:t>
            </w:r>
          </w:p>
          <w:p w14:paraId="0084D36B" w14:textId="77777777" w:rsidR="00362801" w:rsidRDefault="00000000">
            <w:pPr>
              <w:pStyle w:val="a0"/>
              <w:adjustRightInd w:val="0"/>
              <w:snapToGrid w:val="0"/>
              <w:spacing w:after="0"/>
              <w:rPr>
                <w:rFonts w:cs="Times New Roman"/>
                <w:b/>
                <w:color w:val="000000"/>
                <w:lang w:eastAsia="zh-CN"/>
              </w:rPr>
            </w:pPr>
            <w:r>
              <w:rPr>
                <w:rFonts w:cs="Times New Roman"/>
                <w:b/>
                <w:color w:val="000000"/>
                <w:lang w:eastAsia="zh-CN"/>
              </w:rPr>
              <w:t>纵向关联：</w:t>
            </w:r>
          </w:p>
          <w:p w14:paraId="02AF71D0" w14:textId="77777777" w:rsidR="00362801" w:rsidRDefault="00000000">
            <w:pPr>
              <w:pStyle w:val="a0"/>
              <w:adjustRightInd w:val="0"/>
              <w:snapToGrid w:val="0"/>
              <w:spacing w:after="0"/>
              <w:rPr>
                <w:rFonts w:cs="Times New Roman"/>
                <w:bCs/>
                <w:color w:val="000000"/>
                <w:lang w:val="en-US" w:eastAsia="zh-CN"/>
              </w:rPr>
            </w:pPr>
            <w:r>
              <w:rPr>
                <w:rFonts w:cs="Times New Roman"/>
                <w:bCs/>
                <w:color w:val="000000"/>
                <w:lang w:eastAsia="zh-CN"/>
              </w:rPr>
              <w:t>上游：</w:t>
            </w:r>
            <w:r>
              <w:rPr>
                <w:rFonts w:cs="Times New Roman"/>
                <w:bCs/>
                <w:color w:val="000000"/>
                <w:lang w:val="en-US" w:eastAsia="zh-CN"/>
              </w:rPr>
              <w:t>202</w:t>
            </w:r>
            <w:r>
              <w:rPr>
                <w:rFonts w:cs="Times New Roman" w:hint="eastAsia"/>
                <w:bCs/>
                <w:color w:val="000000"/>
                <w:lang w:val="en-US" w:eastAsia="zh-CN"/>
              </w:rPr>
              <w:t>4</w:t>
            </w:r>
            <w:r>
              <w:rPr>
                <w:rFonts w:cs="Times New Roman"/>
                <w:bCs/>
                <w:color w:val="000000"/>
                <w:lang w:val="en-US" w:eastAsia="zh-CN"/>
              </w:rPr>
              <w:t>年</w:t>
            </w:r>
            <w:r>
              <w:rPr>
                <w:rFonts w:cs="Times New Roman"/>
                <w:bCs/>
                <w:color w:val="000000"/>
                <w:lang w:eastAsia="zh-CN"/>
              </w:rPr>
              <w:t>中国</w:t>
            </w:r>
            <w:r>
              <w:rPr>
                <w:rFonts w:cs="Times New Roman" w:hint="eastAsia"/>
                <w:bCs/>
                <w:color w:val="000000"/>
                <w:lang w:eastAsia="zh-CN"/>
              </w:rPr>
              <w:t>境内</w:t>
            </w:r>
            <w:r>
              <w:rPr>
                <w:rFonts w:cs="Times New Roman"/>
                <w:bCs/>
                <w:color w:val="000000"/>
                <w:lang w:eastAsia="zh-CN"/>
              </w:rPr>
              <w:t>锂离子储能电池市场</w:t>
            </w:r>
            <w:r>
              <w:rPr>
                <w:rFonts w:cs="Times New Roman"/>
                <w:bCs/>
                <w:color w:val="000000"/>
                <w:lang w:val="en-US" w:eastAsia="zh-CN"/>
              </w:rPr>
              <w:t>：</w:t>
            </w:r>
          </w:p>
          <w:p w14:paraId="1FADE60C" w14:textId="77777777" w:rsidR="00362801" w:rsidRDefault="00000000">
            <w:pPr>
              <w:pStyle w:val="a0"/>
              <w:adjustRightInd w:val="0"/>
              <w:snapToGrid w:val="0"/>
              <w:spacing w:after="0"/>
              <w:rPr>
                <w:rFonts w:cs="Times New Roman"/>
                <w:bCs/>
                <w:color w:val="000000"/>
                <w:lang w:val="en-US" w:eastAsia="zh-CN"/>
              </w:rPr>
            </w:pPr>
            <w:r>
              <w:rPr>
                <w:rFonts w:cs="Times New Roman"/>
                <w:bCs/>
                <w:color w:val="000000"/>
                <w:lang w:val="en-US" w:eastAsia="zh-CN"/>
              </w:rPr>
              <w:t>宁德时代：</w:t>
            </w:r>
            <w:r>
              <w:rPr>
                <w:rFonts w:cs="Times New Roman" w:hint="eastAsia"/>
                <w:bCs/>
                <w:color w:val="000000"/>
                <w:lang w:val="en-US" w:eastAsia="zh-CN"/>
              </w:rPr>
              <w:t>20-25</w:t>
            </w:r>
            <w:r>
              <w:rPr>
                <w:rFonts w:cs="Times New Roman"/>
                <w:bCs/>
                <w:color w:val="000000"/>
                <w:lang w:val="en-US" w:eastAsia="zh-CN"/>
              </w:rPr>
              <w:t>%</w:t>
            </w:r>
          </w:p>
          <w:p w14:paraId="6D5F2326" w14:textId="77777777" w:rsidR="00362801" w:rsidRDefault="00000000">
            <w:pPr>
              <w:pStyle w:val="a0"/>
              <w:adjustRightInd w:val="0"/>
              <w:snapToGrid w:val="0"/>
              <w:spacing w:after="0"/>
              <w:rPr>
                <w:rFonts w:cs="Times New Roman"/>
                <w:bCs/>
                <w:color w:val="000000"/>
                <w:lang w:val="en-US" w:eastAsia="zh-CN"/>
              </w:rPr>
            </w:pPr>
            <w:r>
              <w:rPr>
                <w:rFonts w:cs="Times New Roman"/>
                <w:bCs/>
                <w:color w:val="000000"/>
                <w:lang w:val="en-US" w:eastAsia="zh-CN"/>
              </w:rPr>
              <w:t>下游：</w:t>
            </w:r>
            <w:r>
              <w:rPr>
                <w:rFonts w:cs="Times New Roman"/>
                <w:bCs/>
                <w:color w:val="000000"/>
                <w:lang w:val="en-US" w:eastAsia="zh-CN"/>
              </w:rPr>
              <w:t>202</w:t>
            </w:r>
            <w:r>
              <w:rPr>
                <w:rFonts w:cs="Times New Roman" w:hint="eastAsia"/>
                <w:bCs/>
                <w:color w:val="000000"/>
                <w:lang w:val="en-US" w:eastAsia="zh-CN"/>
              </w:rPr>
              <w:t>4</w:t>
            </w:r>
            <w:r>
              <w:rPr>
                <w:rFonts w:cs="Times New Roman"/>
                <w:bCs/>
                <w:color w:val="000000"/>
                <w:lang w:val="en-US" w:eastAsia="zh-CN"/>
              </w:rPr>
              <w:t>年中国</w:t>
            </w:r>
            <w:r>
              <w:rPr>
                <w:rFonts w:cs="Times New Roman" w:hint="eastAsia"/>
                <w:bCs/>
                <w:color w:val="000000"/>
                <w:lang w:eastAsia="zh-CN"/>
              </w:rPr>
              <w:t>境内</w:t>
            </w:r>
            <w:r>
              <w:rPr>
                <w:rFonts w:cs="Times New Roman"/>
                <w:bCs/>
                <w:color w:val="000000"/>
                <w:lang w:val="en-US" w:eastAsia="zh-CN"/>
              </w:rPr>
              <w:t>锂离子电池储能系统市场：</w:t>
            </w:r>
          </w:p>
          <w:p w14:paraId="6D259D87" w14:textId="545597D7" w:rsidR="00362801" w:rsidRDefault="00000000">
            <w:pPr>
              <w:pStyle w:val="a0"/>
              <w:adjustRightInd w:val="0"/>
              <w:snapToGrid w:val="0"/>
              <w:spacing w:after="0"/>
              <w:rPr>
                <w:rFonts w:ascii="宋体" w:hAnsi="宋体" w:cs="宋体" w:hint="eastAsia"/>
                <w:bCs/>
                <w:color w:val="000000"/>
                <w:lang w:eastAsia="zh-CN"/>
              </w:rPr>
            </w:pPr>
            <w:r>
              <w:rPr>
                <w:rFonts w:cs="Times New Roman"/>
                <w:bCs/>
                <w:color w:val="000000"/>
                <w:lang w:eastAsia="zh-CN"/>
              </w:rPr>
              <w:t>济柴动力、宁德时代：如上所述</w:t>
            </w:r>
          </w:p>
        </w:tc>
      </w:tr>
    </w:tbl>
    <w:p w14:paraId="7FA0F387" w14:textId="77777777" w:rsidR="00362801" w:rsidRDefault="00362801">
      <w:pPr>
        <w:pStyle w:val="a0"/>
        <w:rPr>
          <w:rFonts w:ascii="宋体" w:hAnsi="宋体" w:cs="宋体" w:hint="eastAsia"/>
          <w:bCs/>
          <w:color w:val="000000"/>
          <w:sz w:val="28"/>
          <w:szCs w:val="28"/>
          <w:lang w:eastAsia="zh-CN"/>
        </w:rPr>
      </w:pPr>
    </w:p>
    <w:sectPr w:rsidR="00362801">
      <w:footerReference w:type="default" r:id="rId8"/>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2D36" w14:textId="77777777" w:rsidR="00C86373" w:rsidRDefault="00C86373">
      <w:pPr>
        <w:spacing w:after="0"/>
      </w:pPr>
      <w:r>
        <w:separator/>
      </w:r>
    </w:p>
  </w:endnote>
  <w:endnote w:type="continuationSeparator" w:id="0">
    <w:p w14:paraId="6225DDF8" w14:textId="77777777" w:rsidR="00C86373" w:rsidRDefault="00C863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_GB2312">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07"/>
      <w:gridCol w:w="3011"/>
      <w:gridCol w:w="3008"/>
    </w:tblGrid>
    <w:tr w:rsidR="00362801" w14:paraId="6AAC6914" w14:textId="77777777">
      <w:tc>
        <w:tcPr>
          <w:tcW w:w="3080" w:type="dxa"/>
        </w:tcPr>
        <w:p w14:paraId="492D7AD6" w14:textId="77777777" w:rsidR="00362801" w:rsidRDefault="00362801">
          <w:pPr>
            <w:pStyle w:val="aff4"/>
          </w:pPr>
        </w:p>
      </w:tc>
      <w:tc>
        <w:tcPr>
          <w:tcW w:w="3081" w:type="dxa"/>
        </w:tcPr>
        <w:p w14:paraId="70CE43A6" w14:textId="77777777" w:rsidR="00362801" w:rsidRDefault="00000000">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Pr>
              <w:rStyle w:val="affff2"/>
              <w:rFonts w:cs="Times New Roman"/>
              <w:lang w:val="en-US"/>
            </w:rPr>
            <w:t>2</w:t>
          </w:r>
          <w:r>
            <w:rPr>
              <w:rStyle w:val="affff2"/>
              <w:rFonts w:cs="Times New Roman"/>
            </w:rPr>
            <w:fldChar w:fldCharType="end"/>
          </w:r>
          <w:r>
            <w:rPr>
              <w:rStyle w:val="affff2"/>
              <w:rFonts w:cs="Times New Roman"/>
            </w:rPr>
            <w:t xml:space="preserve"> -</w:t>
          </w:r>
        </w:p>
      </w:tc>
      <w:tc>
        <w:tcPr>
          <w:tcW w:w="3081" w:type="dxa"/>
        </w:tcPr>
        <w:p w14:paraId="34062454" w14:textId="77777777" w:rsidR="00362801" w:rsidRDefault="00362801">
          <w:pPr>
            <w:pStyle w:val="FooterRight"/>
          </w:pPr>
        </w:p>
      </w:tc>
    </w:tr>
  </w:tbl>
  <w:p w14:paraId="734817CD" w14:textId="77777777" w:rsidR="00362801" w:rsidRDefault="00362801">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5AB0" w14:textId="77777777" w:rsidR="00C86373" w:rsidRDefault="00C86373">
      <w:pPr>
        <w:spacing w:after="0"/>
      </w:pPr>
      <w:r>
        <w:separator/>
      </w:r>
    </w:p>
  </w:footnote>
  <w:footnote w:type="continuationSeparator" w:id="0">
    <w:p w14:paraId="58F08264" w14:textId="77777777" w:rsidR="00C86373" w:rsidRDefault="00C863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5CAD"/>
    <w:multiLevelType w:val="multilevel"/>
    <w:tmpl w:val="25195CAD"/>
    <w:lvl w:ilvl="0">
      <w:start w:val="1"/>
      <w:numFmt w:val="bullet"/>
      <w:pStyle w:val="BulletL1"/>
      <w:lvlText w:val="·"/>
      <w:lvlJc w:val="left"/>
      <w:pPr>
        <w:tabs>
          <w:tab w:val="left"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left"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left"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left"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left"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left"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left"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left"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left"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B4F0377"/>
    <w:multiLevelType w:val="multilevel"/>
    <w:tmpl w:val="6B4F0377"/>
    <w:lvl w:ilvl="0">
      <w:start w:val="1"/>
      <w:numFmt w:val="decimal"/>
      <w:pStyle w:val="StandardL1"/>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1813330705">
    <w:abstractNumId w:val="2"/>
  </w:num>
  <w:num w:numId="2" w16cid:durableId="1163206395">
    <w:abstractNumId w:val="0"/>
  </w:num>
  <w:num w:numId="3" w16cid:durableId="138402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jOTNhNmRhZmY1OTk2OGY4NjhmNjUwODM4ZDFkZTQifQ=="/>
  </w:docVars>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FF"/>
    <w:rsid w:val="000027BD"/>
    <w:rsid w:val="000150B7"/>
    <w:rsid w:val="00021AB2"/>
    <w:rsid w:val="000269B0"/>
    <w:rsid w:val="000326C8"/>
    <w:rsid w:val="00041C40"/>
    <w:rsid w:val="0004292A"/>
    <w:rsid w:val="000467AA"/>
    <w:rsid w:val="0005495C"/>
    <w:rsid w:val="00062616"/>
    <w:rsid w:val="00064B0C"/>
    <w:rsid w:val="00072606"/>
    <w:rsid w:val="00073E6B"/>
    <w:rsid w:val="0007723F"/>
    <w:rsid w:val="00077D60"/>
    <w:rsid w:val="00083590"/>
    <w:rsid w:val="00092F4E"/>
    <w:rsid w:val="000B58E5"/>
    <w:rsid w:val="000B653C"/>
    <w:rsid w:val="000C6953"/>
    <w:rsid w:val="000E29A9"/>
    <w:rsid w:val="000E3A81"/>
    <w:rsid w:val="000F5F90"/>
    <w:rsid w:val="00107E19"/>
    <w:rsid w:val="00115F62"/>
    <w:rsid w:val="00123E26"/>
    <w:rsid w:val="00145B05"/>
    <w:rsid w:val="001639D8"/>
    <w:rsid w:val="00182F08"/>
    <w:rsid w:val="00186A05"/>
    <w:rsid w:val="001965E2"/>
    <w:rsid w:val="001B4EA1"/>
    <w:rsid w:val="001C5840"/>
    <w:rsid w:val="001D1555"/>
    <w:rsid w:val="001D3111"/>
    <w:rsid w:val="001D6168"/>
    <w:rsid w:val="001E0F1F"/>
    <w:rsid w:val="001F346E"/>
    <w:rsid w:val="001F35AA"/>
    <w:rsid w:val="001F367B"/>
    <w:rsid w:val="00224A7C"/>
    <w:rsid w:val="002278D1"/>
    <w:rsid w:val="00231665"/>
    <w:rsid w:val="00233737"/>
    <w:rsid w:val="00240086"/>
    <w:rsid w:val="002403B5"/>
    <w:rsid w:val="0024425F"/>
    <w:rsid w:val="00245281"/>
    <w:rsid w:val="00250E61"/>
    <w:rsid w:val="0025793C"/>
    <w:rsid w:val="00261F94"/>
    <w:rsid w:val="00267941"/>
    <w:rsid w:val="00287E91"/>
    <w:rsid w:val="00291652"/>
    <w:rsid w:val="002964A1"/>
    <w:rsid w:val="002A25F2"/>
    <w:rsid w:val="002A3660"/>
    <w:rsid w:val="002A7C26"/>
    <w:rsid w:val="002D201F"/>
    <w:rsid w:val="002F09A7"/>
    <w:rsid w:val="002F130E"/>
    <w:rsid w:val="002F4796"/>
    <w:rsid w:val="002F5271"/>
    <w:rsid w:val="00304C02"/>
    <w:rsid w:val="00306B88"/>
    <w:rsid w:val="00310488"/>
    <w:rsid w:val="00311263"/>
    <w:rsid w:val="00311FDE"/>
    <w:rsid w:val="00334507"/>
    <w:rsid w:val="00336315"/>
    <w:rsid w:val="0034107F"/>
    <w:rsid w:val="00344D27"/>
    <w:rsid w:val="0035604C"/>
    <w:rsid w:val="00362801"/>
    <w:rsid w:val="00371332"/>
    <w:rsid w:val="003850D4"/>
    <w:rsid w:val="00385F00"/>
    <w:rsid w:val="0038602D"/>
    <w:rsid w:val="003866EF"/>
    <w:rsid w:val="003A4565"/>
    <w:rsid w:val="003B27EC"/>
    <w:rsid w:val="003B2F86"/>
    <w:rsid w:val="003B4439"/>
    <w:rsid w:val="003B4C9E"/>
    <w:rsid w:val="003B7CBC"/>
    <w:rsid w:val="003C3456"/>
    <w:rsid w:val="003E3B57"/>
    <w:rsid w:val="003E73DB"/>
    <w:rsid w:val="003E7B07"/>
    <w:rsid w:val="003F444B"/>
    <w:rsid w:val="00410914"/>
    <w:rsid w:val="004119F5"/>
    <w:rsid w:val="004166B2"/>
    <w:rsid w:val="004203EF"/>
    <w:rsid w:val="00420FC0"/>
    <w:rsid w:val="00427E52"/>
    <w:rsid w:val="00446353"/>
    <w:rsid w:val="0044739B"/>
    <w:rsid w:val="00451892"/>
    <w:rsid w:val="00467A6B"/>
    <w:rsid w:val="0047785F"/>
    <w:rsid w:val="0049707A"/>
    <w:rsid w:val="004973DB"/>
    <w:rsid w:val="0049771A"/>
    <w:rsid w:val="004A4BF1"/>
    <w:rsid w:val="004C3420"/>
    <w:rsid w:val="004D018B"/>
    <w:rsid w:val="004D124C"/>
    <w:rsid w:val="004D4435"/>
    <w:rsid w:val="004F253C"/>
    <w:rsid w:val="005121F4"/>
    <w:rsid w:val="00512A53"/>
    <w:rsid w:val="00521EE8"/>
    <w:rsid w:val="00523905"/>
    <w:rsid w:val="00523EF1"/>
    <w:rsid w:val="005251B9"/>
    <w:rsid w:val="00530BB4"/>
    <w:rsid w:val="00545A47"/>
    <w:rsid w:val="0057200D"/>
    <w:rsid w:val="00591CEC"/>
    <w:rsid w:val="005B0CEB"/>
    <w:rsid w:val="005B18A3"/>
    <w:rsid w:val="005D277C"/>
    <w:rsid w:val="005D6D17"/>
    <w:rsid w:val="005E7B2F"/>
    <w:rsid w:val="005F5280"/>
    <w:rsid w:val="005F637C"/>
    <w:rsid w:val="005F7223"/>
    <w:rsid w:val="0060413B"/>
    <w:rsid w:val="00605EE6"/>
    <w:rsid w:val="0060669E"/>
    <w:rsid w:val="00612210"/>
    <w:rsid w:val="00614EBB"/>
    <w:rsid w:val="0061583E"/>
    <w:rsid w:val="00617BCA"/>
    <w:rsid w:val="00632159"/>
    <w:rsid w:val="00645B6A"/>
    <w:rsid w:val="00655225"/>
    <w:rsid w:val="00657EF1"/>
    <w:rsid w:val="00664174"/>
    <w:rsid w:val="006643EA"/>
    <w:rsid w:val="0067348D"/>
    <w:rsid w:val="006745A9"/>
    <w:rsid w:val="00682729"/>
    <w:rsid w:val="006B4541"/>
    <w:rsid w:val="006D1E2B"/>
    <w:rsid w:val="006E0D98"/>
    <w:rsid w:val="006E3180"/>
    <w:rsid w:val="006E6E26"/>
    <w:rsid w:val="006E70AA"/>
    <w:rsid w:val="006F3986"/>
    <w:rsid w:val="006F7A98"/>
    <w:rsid w:val="007029CB"/>
    <w:rsid w:val="00705778"/>
    <w:rsid w:val="0071373B"/>
    <w:rsid w:val="00720F7B"/>
    <w:rsid w:val="00726B19"/>
    <w:rsid w:val="00727BD0"/>
    <w:rsid w:val="007373F0"/>
    <w:rsid w:val="00742AFE"/>
    <w:rsid w:val="00742EDF"/>
    <w:rsid w:val="007460FE"/>
    <w:rsid w:val="00751420"/>
    <w:rsid w:val="00757299"/>
    <w:rsid w:val="00764EE1"/>
    <w:rsid w:val="007674D7"/>
    <w:rsid w:val="0077122A"/>
    <w:rsid w:val="00772298"/>
    <w:rsid w:val="00794062"/>
    <w:rsid w:val="00797584"/>
    <w:rsid w:val="007A2D94"/>
    <w:rsid w:val="007A6AA9"/>
    <w:rsid w:val="007B651A"/>
    <w:rsid w:val="007B6ED8"/>
    <w:rsid w:val="007B75E4"/>
    <w:rsid w:val="007E2608"/>
    <w:rsid w:val="007E32DD"/>
    <w:rsid w:val="007F1726"/>
    <w:rsid w:val="0080200E"/>
    <w:rsid w:val="00803A33"/>
    <w:rsid w:val="008051ED"/>
    <w:rsid w:val="00811775"/>
    <w:rsid w:val="008138F9"/>
    <w:rsid w:val="0082294F"/>
    <w:rsid w:val="008248B2"/>
    <w:rsid w:val="00834D88"/>
    <w:rsid w:val="00862ECE"/>
    <w:rsid w:val="00864085"/>
    <w:rsid w:val="008803D0"/>
    <w:rsid w:val="00880F24"/>
    <w:rsid w:val="008836AF"/>
    <w:rsid w:val="00885C9B"/>
    <w:rsid w:val="00893879"/>
    <w:rsid w:val="008A13AB"/>
    <w:rsid w:val="008B2172"/>
    <w:rsid w:val="008D2D0A"/>
    <w:rsid w:val="008D4ED8"/>
    <w:rsid w:val="008D644E"/>
    <w:rsid w:val="008E5BCA"/>
    <w:rsid w:val="009022B0"/>
    <w:rsid w:val="00905F4A"/>
    <w:rsid w:val="009145E4"/>
    <w:rsid w:val="009301D9"/>
    <w:rsid w:val="0094346F"/>
    <w:rsid w:val="00953187"/>
    <w:rsid w:val="009551E9"/>
    <w:rsid w:val="0096333E"/>
    <w:rsid w:val="009668EC"/>
    <w:rsid w:val="00966B72"/>
    <w:rsid w:val="00977C3B"/>
    <w:rsid w:val="009901B5"/>
    <w:rsid w:val="009A0BCC"/>
    <w:rsid w:val="009A2EFA"/>
    <w:rsid w:val="009A57C5"/>
    <w:rsid w:val="009A6CD4"/>
    <w:rsid w:val="009A6E66"/>
    <w:rsid w:val="009B0211"/>
    <w:rsid w:val="009C16F8"/>
    <w:rsid w:val="009C1DE7"/>
    <w:rsid w:val="009C5625"/>
    <w:rsid w:val="009C5962"/>
    <w:rsid w:val="009D0999"/>
    <w:rsid w:val="009E4305"/>
    <w:rsid w:val="009F0698"/>
    <w:rsid w:val="00A05705"/>
    <w:rsid w:val="00A16F03"/>
    <w:rsid w:val="00A21136"/>
    <w:rsid w:val="00A3323A"/>
    <w:rsid w:val="00A353BF"/>
    <w:rsid w:val="00A46C66"/>
    <w:rsid w:val="00A46FAF"/>
    <w:rsid w:val="00A5674A"/>
    <w:rsid w:val="00A623EF"/>
    <w:rsid w:val="00A64F91"/>
    <w:rsid w:val="00A73A3E"/>
    <w:rsid w:val="00A7438D"/>
    <w:rsid w:val="00A74797"/>
    <w:rsid w:val="00A7601D"/>
    <w:rsid w:val="00A81984"/>
    <w:rsid w:val="00A92686"/>
    <w:rsid w:val="00AA0F23"/>
    <w:rsid w:val="00AA3E2F"/>
    <w:rsid w:val="00AA46CA"/>
    <w:rsid w:val="00AA535B"/>
    <w:rsid w:val="00AC3273"/>
    <w:rsid w:val="00AC68C4"/>
    <w:rsid w:val="00AD27B6"/>
    <w:rsid w:val="00AD310D"/>
    <w:rsid w:val="00AD3D4D"/>
    <w:rsid w:val="00AE4069"/>
    <w:rsid w:val="00AE7916"/>
    <w:rsid w:val="00AF09EA"/>
    <w:rsid w:val="00AF1D6D"/>
    <w:rsid w:val="00AF5632"/>
    <w:rsid w:val="00B04913"/>
    <w:rsid w:val="00B11BF1"/>
    <w:rsid w:val="00B2169A"/>
    <w:rsid w:val="00B31D4D"/>
    <w:rsid w:val="00B3616B"/>
    <w:rsid w:val="00B37633"/>
    <w:rsid w:val="00B518C9"/>
    <w:rsid w:val="00B52EAC"/>
    <w:rsid w:val="00B54969"/>
    <w:rsid w:val="00B7655A"/>
    <w:rsid w:val="00B80B9E"/>
    <w:rsid w:val="00B838DA"/>
    <w:rsid w:val="00B86E3A"/>
    <w:rsid w:val="00BA017F"/>
    <w:rsid w:val="00BD535F"/>
    <w:rsid w:val="00BE6E64"/>
    <w:rsid w:val="00BF31B7"/>
    <w:rsid w:val="00BF4F99"/>
    <w:rsid w:val="00C10048"/>
    <w:rsid w:val="00C30E9B"/>
    <w:rsid w:val="00C424FC"/>
    <w:rsid w:val="00C436B1"/>
    <w:rsid w:val="00C51ECC"/>
    <w:rsid w:val="00C600D9"/>
    <w:rsid w:val="00C67ADA"/>
    <w:rsid w:val="00C73F10"/>
    <w:rsid w:val="00C77E63"/>
    <w:rsid w:val="00C810E8"/>
    <w:rsid w:val="00C847C2"/>
    <w:rsid w:val="00C86373"/>
    <w:rsid w:val="00CA6613"/>
    <w:rsid w:val="00CC69AD"/>
    <w:rsid w:val="00CF1664"/>
    <w:rsid w:val="00CF541D"/>
    <w:rsid w:val="00CF5A8A"/>
    <w:rsid w:val="00D01278"/>
    <w:rsid w:val="00D12AB1"/>
    <w:rsid w:val="00D23B36"/>
    <w:rsid w:val="00D27AEB"/>
    <w:rsid w:val="00D53BAE"/>
    <w:rsid w:val="00D57DBA"/>
    <w:rsid w:val="00D57EBC"/>
    <w:rsid w:val="00D71F76"/>
    <w:rsid w:val="00D74EEC"/>
    <w:rsid w:val="00D77095"/>
    <w:rsid w:val="00D80573"/>
    <w:rsid w:val="00D94BB1"/>
    <w:rsid w:val="00D961C9"/>
    <w:rsid w:val="00D97B80"/>
    <w:rsid w:val="00DA1D73"/>
    <w:rsid w:val="00DA2BF3"/>
    <w:rsid w:val="00DA757F"/>
    <w:rsid w:val="00DB2761"/>
    <w:rsid w:val="00DB2FF6"/>
    <w:rsid w:val="00DD0E0C"/>
    <w:rsid w:val="00DD7765"/>
    <w:rsid w:val="00DE522D"/>
    <w:rsid w:val="00E17522"/>
    <w:rsid w:val="00E23955"/>
    <w:rsid w:val="00E417DF"/>
    <w:rsid w:val="00E47327"/>
    <w:rsid w:val="00E508A7"/>
    <w:rsid w:val="00E7385D"/>
    <w:rsid w:val="00E86579"/>
    <w:rsid w:val="00E90A19"/>
    <w:rsid w:val="00E974F8"/>
    <w:rsid w:val="00EA79DA"/>
    <w:rsid w:val="00EC5FFE"/>
    <w:rsid w:val="00EC636E"/>
    <w:rsid w:val="00EC7E55"/>
    <w:rsid w:val="00ED6F93"/>
    <w:rsid w:val="00EE7CB8"/>
    <w:rsid w:val="00EF16FB"/>
    <w:rsid w:val="00F02216"/>
    <w:rsid w:val="00F0291C"/>
    <w:rsid w:val="00F04960"/>
    <w:rsid w:val="00F101DD"/>
    <w:rsid w:val="00F14193"/>
    <w:rsid w:val="00F14D59"/>
    <w:rsid w:val="00F20CCE"/>
    <w:rsid w:val="00F22CE7"/>
    <w:rsid w:val="00F31867"/>
    <w:rsid w:val="00F3614E"/>
    <w:rsid w:val="00F56870"/>
    <w:rsid w:val="00F576E0"/>
    <w:rsid w:val="00F6440C"/>
    <w:rsid w:val="00F901CF"/>
    <w:rsid w:val="00F906EF"/>
    <w:rsid w:val="00F96CD8"/>
    <w:rsid w:val="00FB1FAA"/>
    <w:rsid w:val="00FB33FD"/>
    <w:rsid w:val="00FB645E"/>
    <w:rsid w:val="00FC35ED"/>
    <w:rsid w:val="00FD6CD9"/>
    <w:rsid w:val="00FE20D9"/>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3602349"/>
    <w:rsid w:val="15D2125B"/>
    <w:rsid w:val="16ED2CE6"/>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96B1FCE"/>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1F46DD"/>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2B2FB0"/>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8F519"/>
  <w15:docId w15:val="{E78698DE-61E2-470A-BA76-E782026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6">
    <w:lsdException w:name="header" w:uiPriority="99"/>
    <w:lsdException w:name="line number" w:qFormat="0"/>
    <w:lsdException w:name="List Bullet" w:qFormat="0"/>
    <w:lsdException w:name="List Number"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Default Paragraph Font" w:semiHidden="1" w:uiPriority="1" w:unhideWhenUsed="1"/>
    <w:lsdException w:name="Hyperlink" w:uiPriority="99"/>
    <w:lsdException w:name="HTML Top of Form" w:semiHidden="1" w:uiPriority="99" w:unhideWhenUsed="1" w:qFormat="0"/>
    <w:lsdException w:name="HTML Bottom of Form" w:semiHidden="1" w:uiPriority="99" w:unhideWhenUsed="1" w:qFormat="0"/>
    <w:lsdException w:name="HTML Acronym" w:qFormat="0"/>
    <w:lsdException w:name="HTML Cite" w:qFormat="0"/>
    <w:lsdException w:name="HTML Code" w:qFormat="0"/>
    <w:lsdException w:name="HTML Definition" w:qFormat="0"/>
    <w:lsdException w:name="HTML Keyboard" w:qFormat="0"/>
    <w:lsdException w:name="HTML Sample" w:qFormat="0"/>
    <w:lsdException w:name="HTML Typewriter" w:qFormat="0"/>
    <w:lsdException w:name="HTML Variable"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qFormat="0"/>
    <w:lsdException w:name="Table Columns 2" w:semiHidden="1" w:unhideWhenUsed="1"/>
    <w:lsdException w:name="Table Columns 3" w:semiHidden="1" w:unhideWhenUsed="1" w:qFormat="0"/>
    <w:lsdException w:name="Table Columns 4" w:semiHidden="1" w:unhideWhenUsed="1"/>
    <w:lsdException w:name="Table Columns 5" w:semiHidden="1" w:unhideWhenUsed="1"/>
    <w:lsdException w:name="Table Grid 1" w:semiHidden="1" w:unhideWhenUsed="1"/>
    <w:lsdException w:name="Table Grid 2" w:semiHidden="1" w:unhideWhenUsed="1" w:qFormat="0"/>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0"/>
    <w:lsdException w:name="Table List 1" w:semiHidden="1" w:unhideWhenUsed="1"/>
    <w:lsdException w:name="Table List 2" w:semiHidden="1" w:unhideWhenUsed="1"/>
    <w:lsdException w:name="Table List 3" w:semiHidden="1" w:unhideWhenUsed="1"/>
    <w:lsdException w:name="Table List 4" w:semiHidden="1" w:unhideWhenUsed="1" w:qFormat="0"/>
    <w:lsdException w:name="Table List 5" w:semiHidden="1" w:unhideWhenUsed="1"/>
    <w:lsdException w:name="Table List 6" w:semiHidden="1" w:unhideWhenUsed="1" w:qFormat="0"/>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qFormat="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paragraph" w:styleId="a0">
    <w:name w:val="Body Text"/>
    <w:basedOn w:val="a"/>
    <w:link w:val="a6"/>
    <w:qFormat/>
    <w:rPr>
      <w:rFonts w:cs="Simplified Arabic"/>
      <w:lang w:eastAsia="en-GB"/>
    </w:rPr>
  </w:style>
  <w:style w:type="paragraph" w:styleId="31">
    <w:name w:val="List 3"/>
    <w:basedOn w:val="a"/>
    <w:qFormat/>
    <w:pPr>
      <w:ind w:left="1080" w:hanging="360"/>
      <w:contextualSpacing/>
    </w:pPr>
  </w:style>
  <w:style w:type="paragraph" w:styleId="TOC7">
    <w:name w:val="toc 7"/>
    <w:basedOn w:val="a"/>
    <w:next w:val="a"/>
    <w:qFormat/>
    <w:pPr>
      <w:ind w:left="1440"/>
    </w:pPr>
  </w:style>
  <w:style w:type="paragraph" w:styleId="a7">
    <w:name w:val="table of authorities"/>
    <w:basedOn w:val="a"/>
    <w:next w:val="a"/>
    <w:qFormat/>
    <w:pPr>
      <w:ind w:left="240" w:hanging="240"/>
    </w:pPr>
  </w:style>
  <w:style w:type="paragraph" w:styleId="a8">
    <w:name w:val="Note Heading"/>
    <w:basedOn w:val="a"/>
    <w:next w:val="a"/>
    <w:link w:val="a9"/>
    <w:qFormat/>
    <w:rPr>
      <w:rFonts w:cs="Simplified Arabic"/>
    </w:rPr>
  </w:style>
  <w:style w:type="paragraph" w:styleId="81">
    <w:name w:val="index 8"/>
    <w:basedOn w:val="a"/>
    <w:next w:val="a"/>
    <w:qFormat/>
    <w:pPr>
      <w:ind w:left="1920" w:hanging="240"/>
    </w:pPr>
  </w:style>
  <w:style w:type="paragraph" w:styleId="aa">
    <w:name w:val="E-mail Signature"/>
    <w:basedOn w:val="a"/>
    <w:link w:val="ab"/>
    <w:qFormat/>
    <w:rPr>
      <w:rFonts w:cs="Simplified Arabic"/>
    </w:rPr>
  </w:style>
  <w:style w:type="paragraph" w:styleId="ac">
    <w:name w:val="Normal Indent"/>
    <w:basedOn w:val="a"/>
    <w:qFormat/>
    <w:pPr>
      <w:ind w:left="720"/>
    </w:pPr>
  </w:style>
  <w:style w:type="paragraph" w:styleId="ad">
    <w:name w:val="caption"/>
    <w:basedOn w:val="a"/>
    <w:next w:val="a"/>
    <w:qFormat/>
    <w:rPr>
      <w:b/>
      <w:bCs/>
      <w:sz w:val="20"/>
      <w:szCs w:val="20"/>
    </w:rPr>
  </w:style>
  <w:style w:type="paragraph" w:styleId="51">
    <w:name w:val="index 5"/>
    <w:basedOn w:val="a"/>
    <w:next w:val="a"/>
    <w:qFormat/>
    <w:pPr>
      <w:ind w:left="1200" w:hanging="240"/>
    </w:pPr>
  </w:style>
  <w:style w:type="paragraph" w:styleId="ae">
    <w:name w:val="envelope address"/>
    <w:basedOn w:val="a"/>
    <w:qFormat/>
    <w:pPr>
      <w:framePr w:w="7920" w:h="1980" w:hRule="exact" w:hSpace="180" w:wrap="auto" w:hAnchor="page" w:xAlign="center" w:yAlign="bottom"/>
      <w:ind w:left="2880"/>
    </w:pPr>
    <w:rPr>
      <w:rFonts w:cs="Simplified Arabic"/>
    </w:rPr>
  </w:style>
  <w:style w:type="paragraph" w:styleId="af">
    <w:name w:val="Document Map"/>
    <w:basedOn w:val="a"/>
    <w:link w:val="af0"/>
    <w:qFormat/>
    <w:rPr>
      <w:rFonts w:ascii="Tahoma" w:hAnsi="Tahoma" w:cs="Tahoma"/>
      <w:sz w:val="16"/>
      <w:szCs w:val="16"/>
    </w:rPr>
  </w:style>
  <w:style w:type="paragraph" w:styleId="af1">
    <w:name w:val="toa heading"/>
    <w:basedOn w:val="a"/>
    <w:next w:val="a"/>
    <w:qFormat/>
    <w:pPr>
      <w:spacing w:before="120"/>
    </w:pPr>
    <w:rPr>
      <w:rFonts w:cs="Simplified Arabic"/>
      <w:b/>
      <w:bCs/>
    </w:rPr>
  </w:style>
  <w:style w:type="paragraph" w:styleId="af2">
    <w:name w:val="annotation text"/>
    <w:basedOn w:val="a"/>
    <w:link w:val="af3"/>
    <w:qFormat/>
    <w:pPr>
      <w:spacing w:after="120"/>
    </w:pPr>
    <w:rPr>
      <w:rFonts w:cs="Simplified Arabic"/>
      <w:sz w:val="20"/>
      <w:szCs w:val="20"/>
    </w:rPr>
  </w:style>
  <w:style w:type="paragraph" w:styleId="61">
    <w:name w:val="index 6"/>
    <w:basedOn w:val="a"/>
    <w:next w:val="a"/>
    <w:qFormat/>
    <w:pPr>
      <w:ind w:left="1440" w:hanging="240"/>
    </w:pPr>
  </w:style>
  <w:style w:type="paragraph" w:styleId="af4">
    <w:name w:val="Salutation"/>
    <w:basedOn w:val="a"/>
    <w:next w:val="a"/>
    <w:link w:val="af5"/>
    <w:qFormat/>
    <w:rPr>
      <w:rFonts w:cs="Simplified Arabic"/>
    </w:rPr>
  </w:style>
  <w:style w:type="paragraph" w:styleId="32">
    <w:name w:val="Body Text 3"/>
    <w:basedOn w:val="a"/>
    <w:link w:val="33"/>
    <w:qFormat/>
    <w:pPr>
      <w:ind w:left="2160"/>
    </w:pPr>
    <w:rPr>
      <w:rFonts w:cs="Simplified Arabic"/>
      <w:lang w:eastAsia="en-GB"/>
    </w:rPr>
  </w:style>
  <w:style w:type="paragraph" w:styleId="af6">
    <w:name w:val="Closing"/>
    <w:basedOn w:val="a"/>
    <w:link w:val="af7"/>
    <w:qFormat/>
    <w:pPr>
      <w:ind w:left="4320"/>
    </w:pPr>
    <w:rPr>
      <w:rFonts w:cs="Simplified Arabic"/>
    </w:rPr>
  </w:style>
  <w:style w:type="paragraph" w:styleId="af8">
    <w:name w:val="Body Text Indent"/>
    <w:basedOn w:val="a"/>
    <w:link w:val="af9"/>
    <w:qFormat/>
    <w:pPr>
      <w:spacing w:after="120"/>
      <w:ind w:left="283"/>
    </w:pPr>
    <w:rPr>
      <w:rFonts w:cs="Simplified Arabic"/>
    </w:rPr>
  </w:style>
  <w:style w:type="paragraph" w:styleId="21">
    <w:name w:val="List 2"/>
    <w:basedOn w:val="a"/>
    <w:qFormat/>
    <w:pPr>
      <w:ind w:left="720" w:hanging="360"/>
      <w:contextualSpacing/>
    </w:pPr>
  </w:style>
  <w:style w:type="paragraph" w:styleId="afa">
    <w:name w:val="List Continue"/>
    <w:basedOn w:val="a"/>
    <w:qFormat/>
    <w:pPr>
      <w:spacing w:after="120"/>
      <w:ind w:left="360"/>
      <w:contextualSpacing/>
    </w:pPr>
  </w:style>
  <w:style w:type="paragraph" w:styleId="afb">
    <w:name w:val="Block Text"/>
    <w:basedOn w:val="a"/>
    <w:qFormat/>
    <w:pPr>
      <w:spacing w:after="120"/>
      <w:ind w:left="1440" w:right="1440"/>
    </w:pPr>
  </w:style>
  <w:style w:type="paragraph" w:styleId="HTML">
    <w:name w:val="HTML Address"/>
    <w:basedOn w:val="a"/>
    <w:link w:val="HTML0"/>
    <w:qFormat/>
    <w:rPr>
      <w:rFonts w:cs="Simplified Arabic"/>
      <w:i/>
      <w:iCs/>
    </w:rPr>
  </w:style>
  <w:style w:type="paragraph" w:styleId="41">
    <w:name w:val="index 4"/>
    <w:basedOn w:val="a"/>
    <w:next w:val="a"/>
    <w:qFormat/>
    <w:pPr>
      <w:ind w:left="960" w:hanging="240"/>
    </w:pPr>
  </w:style>
  <w:style w:type="paragraph" w:styleId="TOC5">
    <w:name w:val="toc 5"/>
    <w:basedOn w:val="a"/>
    <w:next w:val="a"/>
    <w:qFormat/>
    <w:pPr>
      <w:ind w:left="960"/>
    </w:pPr>
  </w:style>
  <w:style w:type="paragraph" w:styleId="TOC3">
    <w:name w:val="toc 3"/>
    <w:basedOn w:val="a"/>
    <w:next w:val="a"/>
    <w:qFormat/>
    <w:pPr>
      <w:ind w:left="480"/>
    </w:pPr>
  </w:style>
  <w:style w:type="paragraph" w:styleId="afc">
    <w:name w:val="Plain Text"/>
    <w:basedOn w:val="a"/>
    <w:link w:val="afd"/>
    <w:qFormat/>
    <w:rPr>
      <w:rFonts w:ascii="Courier New" w:hAnsi="Courier New" w:cs="Courier New"/>
      <w:sz w:val="20"/>
      <w:szCs w:val="20"/>
    </w:rPr>
  </w:style>
  <w:style w:type="paragraph" w:styleId="TOC8">
    <w:name w:val="toc 8"/>
    <w:basedOn w:val="a"/>
    <w:next w:val="a"/>
    <w:qFormat/>
    <w:pPr>
      <w:ind w:left="1680"/>
    </w:pPr>
  </w:style>
  <w:style w:type="paragraph" w:styleId="34">
    <w:name w:val="index 3"/>
    <w:basedOn w:val="a"/>
    <w:next w:val="a"/>
    <w:qFormat/>
    <w:pPr>
      <w:ind w:left="720" w:hanging="240"/>
    </w:pPr>
  </w:style>
  <w:style w:type="paragraph" w:styleId="afe">
    <w:name w:val="Date"/>
    <w:basedOn w:val="a"/>
    <w:next w:val="a"/>
    <w:link w:val="aff"/>
    <w:qFormat/>
    <w:rPr>
      <w:rFonts w:cs="Simplified Arabic"/>
    </w:rPr>
  </w:style>
  <w:style w:type="paragraph" w:styleId="22">
    <w:name w:val="Body Text Indent 2"/>
    <w:basedOn w:val="a"/>
    <w:link w:val="23"/>
    <w:qFormat/>
    <w:pPr>
      <w:spacing w:after="120"/>
      <w:ind w:left="360"/>
    </w:pPr>
    <w:rPr>
      <w:rFonts w:cs="Simplified Arabic"/>
    </w:rPr>
  </w:style>
  <w:style w:type="paragraph" w:styleId="aff0">
    <w:name w:val="endnote text"/>
    <w:basedOn w:val="a"/>
    <w:next w:val="a"/>
    <w:link w:val="aff1"/>
    <w:qFormat/>
    <w:pPr>
      <w:spacing w:after="120"/>
      <w:ind w:left="340" w:hanging="340"/>
    </w:pPr>
    <w:rPr>
      <w:rFonts w:cs="Simplified Arabic"/>
      <w:sz w:val="20"/>
      <w:szCs w:val="20"/>
    </w:rPr>
  </w:style>
  <w:style w:type="paragraph" w:styleId="52">
    <w:name w:val="List Continue 5"/>
    <w:basedOn w:val="a"/>
    <w:qFormat/>
    <w:pPr>
      <w:spacing w:after="120"/>
      <w:ind w:left="1800"/>
      <w:contextualSpacing/>
    </w:pPr>
  </w:style>
  <w:style w:type="paragraph" w:styleId="aff2">
    <w:name w:val="Balloon Text"/>
    <w:basedOn w:val="a"/>
    <w:link w:val="aff3"/>
    <w:qFormat/>
    <w:pPr>
      <w:spacing w:after="0"/>
    </w:pPr>
    <w:rPr>
      <w:rFonts w:ascii="Tahoma" w:hAnsi="Tahoma" w:cs="Tahoma"/>
      <w:sz w:val="16"/>
      <w:szCs w:val="16"/>
    </w:rPr>
  </w:style>
  <w:style w:type="paragraph" w:styleId="aff4">
    <w:name w:val="footer"/>
    <w:link w:val="aff5"/>
    <w:qFormat/>
    <w:rPr>
      <w:sz w:val="16"/>
      <w:szCs w:val="16"/>
      <w:lang w:val="en-GB" w:bidi="he-IL"/>
    </w:rPr>
  </w:style>
  <w:style w:type="paragraph" w:styleId="aff6">
    <w:name w:val="envelope return"/>
    <w:basedOn w:val="a"/>
    <w:qFormat/>
    <w:rPr>
      <w:rFonts w:cs="Simplified Arabic"/>
      <w:sz w:val="20"/>
      <w:szCs w:val="20"/>
    </w:rPr>
  </w:style>
  <w:style w:type="paragraph" w:styleId="aff7">
    <w:name w:val="header"/>
    <w:link w:val="aff8"/>
    <w:uiPriority w:val="99"/>
    <w:qFormat/>
    <w:pPr>
      <w:jc w:val="both"/>
    </w:pPr>
    <w:rPr>
      <w:sz w:val="24"/>
      <w:szCs w:val="24"/>
      <w:lang w:val="en-GB" w:bidi="he-IL"/>
    </w:rPr>
  </w:style>
  <w:style w:type="paragraph" w:styleId="aff9">
    <w:name w:val="Signature"/>
    <w:basedOn w:val="a"/>
    <w:link w:val="affa"/>
    <w:qFormat/>
    <w:pPr>
      <w:ind w:left="4320"/>
    </w:pPr>
    <w:rPr>
      <w:rFonts w:cs="Simplified Arabic"/>
    </w:rPr>
  </w:style>
  <w:style w:type="paragraph" w:styleId="TOC1">
    <w:name w:val="toc 1"/>
    <w:basedOn w:val="a"/>
    <w:next w:val="a0"/>
    <w:qFormat/>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qFormat/>
    <w:pPr>
      <w:spacing w:after="120"/>
      <w:ind w:left="1440"/>
      <w:contextualSpacing/>
    </w:pPr>
  </w:style>
  <w:style w:type="paragraph" w:styleId="TOC4">
    <w:name w:val="toc 4"/>
    <w:basedOn w:val="a"/>
    <w:next w:val="a"/>
    <w:qFormat/>
    <w:pPr>
      <w:ind w:left="720"/>
    </w:pPr>
  </w:style>
  <w:style w:type="paragraph" w:styleId="affb">
    <w:name w:val="index heading"/>
    <w:basedOn w:val="a"/>
    <w:next w:val="a"/>
    <w:qFormat/>
    <w:rPr>
      <w:b/>
      <w:bCs/>
    </w:rPr>
  </w:style>
  <w:style w:type="paragraph" w:styleId="affc">
    <w:name w:val="Subtitle"/>
    <w:basedOn w:val="a"/>
    <w:next w:val="a0"/>
    <w:link w:val="affd"/>
    <w:qFormat/>
    <w:pPr>
      <w:jc w:val="center"/>
    </w:pPr>
    <w:rPr>
      <w:rFonts w:cs="Simplified Arabic"/>
    </w:rPr>
  </w:style>
  <w:style w:type="paragraph" w:styleId="affe">
    <w:name w:val="List"/>
    <w:basedOn w:val="a"/>
    <w:qFormat/>
    <w:pPr>
      <w:ind w:left="360" w:hanging="360"/>
      <w:contextualSpacing/>
    </w:pPr>
  </w:style>
  <w:style w:type="paragraph" w:styleId="afff">
    <w:name w:val="footnote text"/>
    <w:basedOn w:val="a"/>
    <w:next w:val="a"/>
    <w:link w:val="afff0"/>
    <w:qFormat/>
    <w:pPr>
      <w:spacing w:after="120"/>
      <w:ind w:left="340" w:hanging="340"/>
    </w:pPr>
    <w:rPr>
      <w:rFonts w:cs="Simplified Arabic"/>
      <w:sz w:val="20"/>
      <w:szCs w:val="20"/>
    </w:rPr>
  </w:style>
  <w:style w:type="paragraph" w:styleId="TOC6">
    <w:name w:val="toc 6"/>
    <w:basedOn w:val="a"/>
    <w:next w:val="a"/>
    <w:qFormat/>
    <w:pPr>
      <w:ind w:left="1200"/>
    </w:pPr>
  </w:style>
  <w:style w:type="paragraph" w:styleId="53">
    <w:name w:val="List 5"/>
    <w:basedOn w:val="a"/>
    <w:qFormat/>
    <w:pPr>
      <w:ind w:left="1800" w:hanging="360"/>
      <w:contextualSpacing/>
    </w:pPr>
  </w:style>
  <w:style w:type="paragraph" w:styleId="35">
    <w:name w:val="Body Text Indent 3"/>
    <w:basedOn w:val="a"/>
    <w:link w:val="36"/>
    <w:qFormat/>
    <w:pPr>
      <w:spacing w:after="120"/>
      <w:ind w:left="360"/>
    </w:pPr>
    <w:rPr>
      <w:rFonts w:cs="Simplified Arabic"/>
      <w:sz w:val="16"/>
      <w:szCs w:val="16"/>
    </w:rPr>
  </w:style>
  <w:style w:type="paragraph" w:styleId="71">
    <w:name w:val="index 7"/>
    <w:basedOn w:val="a"/>
    <w:next w:val="a"/>
    <w:qFormat/>
    <w:pPr>
      <w:ind w:left="1680" w:hanging="240"/>
    </w:pPr>
  </w:style>
  <w:style w:type="paragraph" w:styleId="91">
    <w:name w:val="index 9"/>
    <w:basedOn w:val="a"/>
    <w:next w:val="a"/>
    <w:qFormat/>
    <w:pPr>
      <w:ind w:left="2160" w:hanging="240"/>
    </w:pPr>
  </w:style>
  <w:style w:type="paragraph" w:styleId="afff1">
    <w:name w:val="table of figures"/>
    <w:basedOn w:val="a"/>
    <w:next w:val="a"/>
    <w:qFormat/>
  </w:style>
  <w:style w:type="paragraph" w:styleId="TOC2">
    <w:name w:val="toc 2"/>
    <w:basedOn w:val="a"/>
    <w:next w:val="a0"/>
    <w:qFormat/>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qFormat/>
    <w:pPr>
      <w:ind w:left="1920"/>
    </w:pPr>
  </w:style>
  <w:style w:type="paragraph" w:styleId="24">
    <w:name w:val="Body Text 2"/>
    <w:basedOn w:val="a"/>
    <w:link w:val="25"/>
    <w:qFormat/>
    <w:pPr>
      <w:ind w:left="1440"/>
    </w:pPr>
    <w:rPr>
      <w:rFonts w:cs="Simplified Arabic"/>
      <w:lang w:eastAsia="en-GB"/>
    </w:rPr>
  </w:style>
  <w:style w:type="paragraph" w:styleId="43">
    <w:name w:val="List 4"/>
    <w:basedOn w:val="a"/>
    <w:qFormat/>
    <w:pPr>
      <w:ind w:left="1440" w:hanging="360"/>
      <w:contextualSpacing/>
    </w:pPr>
  </w:style>
  <w:style w:type="paragraph" w:styleId="26">
    <w:name w:val="List Continue 2"/>
    <w:basedOn w:val="a"/>
    <w:qFormat/>
    <w:pPr>
      <w:spacing w:after="120"/>
      <w:ind w:left="720"/>
      <w:contextualSpacing/>
    </w:p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paragraph" w:styleId="HTML1">
    <w:name w:val="HTML Preformatted"/>
    <w:basedOn w:val="a"/>
    <w:link w:val="HTML2"/>
    <w:qFormat/>
    <w:rPr>
      <w:rFonts w:ascii="Courier New" w:hAnsi="Courier New" w:cs="Courier New"/>
      <w:sz w:val="20"/>
      <w:szCs w:val="20"/>
    </w:rPr>
  </w:style>
  <w:style w:type="paragraph" w:styleId="afff4">
    <w:name w:val="Normal (Web)"/>
    <w:basedOn w:val="a"/>
    <w:qFormat/>
  </w:style>
  <w:style w:type="paragraph" w:styleId="37">
    <w:name w:val="List Continue 3"/>
    <w:basedOn w:val="a"/>
    <w:qFormat/>
    <w:pPr>
      <w:spacing w:after="120"/>
      <w:ind w:left="1080"/>
      <w:contextualSpacing/>
    </w:pPr>
  </w:style>
  <w:style w:type="paragraph" w:styleId="11">
    <w:name w:val="index 1"/>
    <w:basedOn w:val="a"/>
    <w:next w:val="a"/>
    <w:qFormat/>
    <w:pPr>
      <w:ind w:left="240" w:hanging="240"/>
    </w:pPr>
  </w:style>
  <w:style w:type="paragraph" w:styleId="27">
    <w:name w:val="index 2"/>
    <w:basedOn w:val="a"/>
    <w:next w:val="a"/>
    <w:qFormat/>
    <w:pPr>
      <w:ind w:left="480" w:hanging="240"/>
    </w:pPr>
  </w:style>
  <w:style w:type="paragraph" w:styleId="afff5">
    <w:name w:val="Title"/>
    <w:basedOn w:val="a"/>
    <w:next w:val="a0"/>
    <w:link w:val="afff6"/>
    <w:qFormat/>
    <w:pPr>
      <w:jc w:val="center"/>
    </w:pPr>
    <w:rPr>
      <w:rFonts w:cs="Simplified Arabic"/>
      <w:b/>
      <w:bCs/>
    </w:rPr>
  </w:style>
  <w:style w:type="paragraph" w:styleId="afff7">
    <w:name w:val="annotation subject"/>
    <w:basedOn w:val="af2"/>
    <w:next w:val="af2"/>
    <w:link w:val="afff8"/>
    <w:qFormat/>
    <w:pPr>
      <w:spacing w:after="240"/>
    </w:pPr>
    <w:rPr>
      <w:b/>
      <w:bCs/>
    </w:rPr>
  </w:style>
  <w:style w:type="paragraph" w:styleId="afff9">
    <w:name w:val="Body Text First Indent"/>
    <w:basedOn w:val="a0"/>
    <w:link w:val="afffa"/>
    <w:qFormat/>
    <w:pPr>
      <w:ind w:firstLine="720"/>
    </w:pPr>
  </w:style>
  <w:style w:type="paragraph" w:styleId="28">
    <w:name w:val="Body Text First Indent 2"/>
    <w:basedOn w:val="afff9"/>
    <w:link w:val="29"/>
    <w:qFormat/>
    <w:pPr>
      <w:ind w:firstLine="1440"/>
    </w:pPr>
  </w:style>
  <w:style w:type="table" w:styleId="afff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qFormat/>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qFormat/>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qFormat/>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qFormat/>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qFormat/>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qFormat/>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qFormat/>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qFormat/>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qFormat/>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qFormat/>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qFormat/>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qFormat/>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qFormat/>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qFormat/>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qFormat/>
    <w:pPr>
      <w:spacing w:after="24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qFormat/>
    <w:pPr>
      <w:spacing w:after="24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qFormat/>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qFormat/>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qFormat/>
    <w:pPr>
      <w:spacing w:after="24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qFormat/>
    <w:pPr>
      <w:spacing w:after="24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qFormat/>
    <w:pPr>
      <w:spacing w:after="24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qFormat/>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qFormat/>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qFormat/>
    <w:pPr>
      <w:spacing w:after="24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qFormat/>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qFormat/>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qFormat/>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qFormat/>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qFormat/>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qFormat/>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qFormat/>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qFormat/>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qFormat/>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qFormat/>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31">
    <w:name w:val="Light Grid Accent 3"/>
    <w:basedOn w:val="a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1">
    <w:name w:val="Light Grid Accent 4"/>
    <w:basedOn w:val="a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51">
    <w:name w:val="Light Grid Accent 5"/>
    <w:basedOn w:val="a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61">
    <w:name w:val="Light Grid Accent 6"/>
    <w:basedOn w:val="a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1-2">
    <w:name w:val="Medium Shading 1 Accent 2"/>
    <w:basedOn w:val="a2"/>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tblStylePr w:type="band2Horz">
      <w:tblPr/>
      <w:tcPr>
        <w:tcBorders>
          <w:insideH w:val="nil"/>
          <w:insideV w:val="nil"/>
        </w:tcBorders>
      </w:tcPr>
    </w:tblStylePr>
  </w:style>
  <w:style w:type="table" w:styleId="1-3">
    <w:name w:val="Medium Shading 1 Accent 3"/>
    <w:basedOn w:val="a2"/>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tblStylePr w:type="band2Horz">
      <w:tblPr/>
      <w:tcPr>
        <w:tcBorders>
          <w:insideH w:val="nil"/>
          <w:insideV w:val="nil"/>
        </w:tcBorders>
      </w:tcPr>
    </w:tblStylePr>
  </w:style>
  <w:style w:type="table" w:styleId="1-4">
    <w:name w:val="Medium Shading 1 Accent 4"/>
    <w:basedOn w:val="a2"/>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tblStylePr w:type="band2Horz">
      <w:tblPr/>
      <w:tcPr>
        <w:tcBorders>
          <w:insideH w:val="nil"/>
          <w:insideV w:val="nil"/>
        </w:tcBorders>
      </w:tcPr>
    </w:tblStylePr>
  </w:style>
  <w:style w:type="table" w:styleId="1-5">
    <w:name w:val="Medium Shading 1 Accent 5"/>
    <w:basedOn w:val="a2"/>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tblStylePr w:type="band2Horz">
      <w:tblPr/>
      <w:tcPr>
        <w:tcBorders>
          <w:insideH w:val="nil"/>
          <w:insideV w:val="nil"/>
        </w:tcBorders>
      </w:tcPr>
    </w:tblStylePr>
  </w:style>
  <w:style w:type="table" w:styleId="1-6">
    <w:name w:val="Medium Shading 1 Accent 6"/>
    <w:basedOn w:val="a2"/>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tblStylePr w:type="band2Horz">
      <w:tblPr/>
      <w:tcPr>
        <w:tcBorders>
          <w:insideH w:val="nil"/>
          <w:insideV w:val="nil"/>
        </w:tcBorders>
      </w:tcPr>
    </w:tblStylePr>
  </w:style>
  <w:style w:type="table" w:styleId="2-2">
    <w:name w:val="Medium Shading 2 Accent 2"/>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0">
    <w:name w:val="Medium List 1 Accent 2"/>
    <w:basedOn w:val="a2"/>
    <w:qFormat/>
    <w:rPr>
      <w:color w:val="000000"/>
    </w:rPr>
    <w:tblPr>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qFormat/>
    <w:rPr>
      <w:color w:val="000000"/>
    </w:rPr>
    <w:tblPr>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qFormat/>
    <w:rPr>
      <w:color w:val="000000"/>
    </w:rPr>
    <w:tblPr>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qFormat/>
    <w:rPr>
      <w:color w:val="000000"/>
    </w:rPr>
    <w:tblPr>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qFormat/>
    <w:rPr>
      <w:color w:val="000000"/>
    </w:rPr>
    <w:tblPr>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qFormat/>
    <w:rPr>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2"/>
    <w:qFormat/>
    <w:rPr>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2"/>
    <w:qFormat/>
    <w:rPr>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2"/>
    <w:qFormat/>
    <w:rPr>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2"/>
    <w:qFormat/>
    <w:rPr>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2"/>
    <w:qFormat/>
    <w:rPr>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2"/>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qFormat/>
    <w:rPr>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2-21">
    <w:name w:val="Medium Grid 2 Accent 2"/>
    <w:basedOn w:val="a2"/>
    <w:qFormat/>
    <w:rPr>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2-31">
    <w:name w:val="Medium Grid 2 Accent 3"/>
    <w:basedOn w:val="a2"/>
    <w:qFormat/>
    <w:rPr>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2-41">
    <w:name w:val="Medium Grid 2 Accent 4"/>
    <w:basedOn w:val="a2"/>
    <w:qFormat/>
    <w:rPr>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2-51">
    <w:name w:val="Medium Grid 2 Accent 5"/>
    <w:basedOn w:val="a2"/>
    <w:qFormat/>
    <w:rPr>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2-61">
    <w:name w:val="Medium Grid 2 Accent 6"/>
    <w:basedOn w:val="a2"/>
    <w:qFormat/>
    <w:rPr>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3-1">
    <w:name w:val="Medium Grid 3 Accent 1"/>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3-2">
    <w:name w:val="Medium Grid 3 Accent 2"/>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3-3">
    <w:name w:val="Medium Grid 3 Accent 3"/>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3-4">
    <w:name w:val="Medium Grid 3 Accent 4"/>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3-5">
    <w:name w:val="Medium Grid 3 Accent 5"/>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3-6">
    <w:name w:val="Medium Grid 3 Accent 6"/>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1">
    <w:name w:val="Dark List Accent 1"/>
    <w:basedOn w:val="a2"/>
    <w:qFormat/>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qFormat/>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qFormat/>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qFormat/>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qFormat/>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qFormat/>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qFormat/>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qFormat/>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qFormat/>
    <w:rPr>
      <w:rFonts w:ascii="Times New Roman" w:eastAsia="宋体" w:hAnsi="Times New Roman" w:cs="Simplified Arabic"/>
      <w:sz w:val="18"/>
      <w:szCs w:val="18"/>
      <w:vertAlign w:val="superscript"/>
      <w:lang w:val="en-GB" w:bidi="ar-AE"/>
    </w:rPr>
  </w:style>
  <w:style w:type="character" w:styleId="affff2">
    <w:name w:val="page number"/>
    <w:qFormat/>
    <w:rPr>
      <w:rFonts w:ascii="Times New Roman" w:eastAsia="宋体" w:hAnsi="Times New Roman" w:cs="Simplified Arabic"/>
      <w:sz w:val="24"/>
      <w:szCs w:val="24"/>
      <w:lang w:val="en-GB" w:bidi="ar-AE"/>
    </w:rPr>
  </w:style>
  <w:style w:type="character" w:styleId="affff3">
    <w:name w:val="FollowedHyperlink"/>
    <w:qFormat/>
    <w:rPr>
      <w:color w:val="800080"/>
      <w:u w:val="single"/>
    </w:rPr>
  </w:style>
  <w:style w:type="character" w:styleId="affff4">
    <w:name w:val="Emphasis"/>
    <w:qFormat/>
    <w:rPr>
      <w:i/>
      <w:iCs/>
    </w:rPr>
  </w:style>
  <w:style w:type="character" w:styleId="affff5">
    <w:name w:val="Hyperlink"/>
    <w:uiPriority w:val="99"/>
    <w:qFormat/>
    <w:rPr>
      <w:color w:val="0000FF"/>
      <w:u w:val="single"/>
    </w:rPr>
  </w:style>
  <w:style w:type="character" w:styleId="affff6">
    <w:name w:val="annotation reference"/>
    <w:qFormat/>
    <w:rPr>
      <w:rFonts w:ascii="Times New Roman" w:eastAsia="宋体" w:hAnsi="Times New Roman" w:cs="Simplified Arabic"/>
      <w:sz w:val="18"/>
      <w:szCs w:val="18"/>
      <w:lang w:val="en-GB" w:bidi="ar-AE"/>
    </w:rPr>
  </w:style>
  <w:style w:type="character" w:styleId="affff7">
    <w:name w:val="footnote reference"/>
    <w:qFormat/>
    <w:rPr>
      <w:rFonts w:ascii="Times New Roman" w:eastAsia="宋体" w:hAnsi="Times New Roman" w:cs="Simplified Arabic"/>
      <w:sz w:val="18"/>
      <w:szCs w:val="18"/>
      <w:vertAlign w:val="superscript"/>
      <w:lang w:bidi="ar-AE"/>
    </w:rPr>
  </w:style>
  <w:style w:type="character" w:customStyle="1" w:styleId="a5">
    <w:name w:val="宏文本 字符"/>
    <w:link w:val="a4"/>
    <w:qFormat/>
    <w:rPr>
      <w:rFonts w:ascii="Courier New" w:hAnsi="Courier New" w:cs="Courier New"/>
      <w:lang w:val="en-GB" w:eastAsia="zh-CN" w:bidi="ar-AE"/>
    </w:rPr>
  </w:style>
  <w:style w:type="character" w:customStyle="1" w:styleId="10">
    <w:name w:val="标题 1 字符"/>
    <w:link w:val="1"/>
    <w:qFormat/>
    <w:rPr>
      <w:sz w:val="24"/>
      <w:szCs w:val="24"/>
      <w:lang w:bidi="ar-AE"/>
    </w:rPr>
  </w:style>
  <w:style w:type="character" w:customStyle="1" w:styleId="20">
    <w:name w:val="标题 2 字符"/>
    <w:link w:val="2"/>
    <w:qFormat/>
    <w:rPr>
      <w:sz w:val="24"/>
      <w:szCs w:val="24"/>
      <w:lang w:bidi="ar-AE"/>
    </w:rPr>
  </w:style>
  <w:style w:type="character" w:customStyle="1" w:styleId="a6">
    <w:name w:val="正文文本 字符"/>
    <w:link w:val="a0"/>
    <w:qFormat/>
    <w:rPr>
      <w:sz w:val="24"/>
      <w:szCs w:val="24"/>
      <w:lang w:eastAsia="en-GB" w:bidi="ar-AE"/>
    </w:rPr>
  </w:style>
  <w:style w:type="character" w:customStyle="1" w:styleId="30">
    <w:name w:val="标题 3 字符"/>
    <w:link w:val="3"/>
    <w:qFormat/>
    <w:rPr>
      <w:sz w:val="24"/>
      <w:szCs w:val="24"/>
      <w:lang w:bidi="ar-AE"/>
    </w:rPr>
  </w:style>
  <w:style w:type="character" w:customStyle="1" w:styleId="40">
    <w:name w:val="标题 4 字符"/>
    <w:link w:val="4"/>
    <w:qFormat/>
    <w:rPr>
      <w:sz w:val="24"/>
      <w:szCs w:val="24"/>
      <w:lang w:bidi="ar-AE"/>
    </w:rPr>
  </w:style>
  <w:style w:type="character" w:customStyle="1" w:styleId="50">
    <w:name w:val="标题 5 字符"/>
    <w:link w:val="5"/>
    <w:qFormat/>
    <w:rPr>
      <w:sz w:val="24"/>
      <w:szCs w:val="24"/>
      <w:lang w:bidi="ar-AE"/>
    </w:rPr>
  </w:style>
  <w:style w:type="character" w:customStyle="1" w:styleId="60">
    <w:name w:val="标题 6 字符"/>
    <w:link w:val="6"/>
    <w:qFormat/>
    <w:rPr>
      <w:sz w:val="24"/>
      <w:szCs w:val="24"/>
      <w:lang w:bidi="ar-AE"/>
    </w:rPr>
  </w:style>
  <w:style w:type="character" w:customStyle="1" w:styleId="70">
    <w:name w:val="标题 7 字符"/>
    <w:link w:val="7"/>
    <w:qFormat/>
    <w:rPr>
      <w:sz w:val="24"/>
      <w:szCs w:val="24"/>
      <w:lang w:bidi="ar-AE"/>
    </w:rPr>
  </w:style>
  <w:style w:type="character" w:customStyle="1" w:styleId="80">
    <w:name w:val="标题 8 字符"/>
    <w:link w:val="8"/>
    <w:qFormat/>
    <w:rPr>
      <w:sz w:val="24"/>
      <w:szCs w:val="24"/>
      <w:lang w:bidi="ar-AE"/>
    </w:rPr>
  </w:style>
  <w:style w:type="character" w:customStyle="1" w:styleId="90">
    <w:name w:val="标题 9 字符"/>
    <w:link w:val="9"/>
    <w:qFormat/>
    <w:rPr>
      <w:sz w:val="24"/>
      <w:szCs w:val="24"/>
      <w:lang w:bidi="ar-AE"/>
    </w:rPr>
  </w:style>
  <w:style w:type="character" w:customStyle="1" w:styleId="a9">
    <w:name w:val="注释标题 字符"/>
    <w:link w:val="a8"/>
    <w:qFormat/>
    <w:rPr>
      <w:sz w:val="24"/>
      <w:szCs w:val="24"/>
      <w:lang w:bidi="ar-AE"/>
    </w:rPr>
  </w:style>
  <w:style w:type="character" w:customStyle="1" w:styleId="ab">
    <w:name w:val="电子邮件签名 字符"/>
    <w:link w:val="aa"/>
    <w:qFormat/>
    <w:rPr>
      <w:sz w:val="24"/>
      <w:szCs w:val="24"/>
      <w:lang w:bidi="ar-AE"/>
    </w:rPr>
  </w:style>
  <w:style w:type="character" w:customStyle="1" w:styleId="af0">
    <w:name w:val="文档结构图 字符"/>
    <w:link w:val="af"/>
    <w:qFormat/>
    <w:rPr>
      <w:rFonts w:ascii="Tahoma" w:hAnsi="Tahoma" w:cs="Tahoma"/>
      <w:sz w:val="16"/>
      <w:szCs w:val="16"/>
      <w:lang w:bidi="ar-AE"/>
    </w:rPr>
  </w:style>
  <w:style w:type="character" w:customStyle="1" w:styleId="af3">
    <w:name w:val="批注文字 字符"/>
    <w:link w:val="af2"/>
    <w:qFormat/>
    <w:rPr>
      <w:lang w:bidi="ar-AE"/>
    </w:rPr>
  </w:style>
  <w:style w:type="character" w:customStyle="1" w:styleId="af5">
    <w:name w:val="称呼 字符"/>
    <w:link w:val="af4"/>
    <w:qFormat/>
    <w:rPr>
      <w:sz w:val="24"/>
      <w:szCs w:val="24"/>
      <w:lang w:bidi="ar-AE"/>
    </w:rPr>
  </w:style>
  <w:style w:type="character" w:customStyle="1" w:styleId="33">
    <w:name w:val="正文文本 3 字符"/>
    <w:link w:val="32"/>
    <w:qFormat/>
    <w:rPr>
      <w:sz w:val="24"/>
      <w:szCs w:val="24"/>
      <w:lang w:eastAsia="en-GB" w:bidi="ar-AE"/>
    </w:rPr>
  </w:style>
  <w:style w:type="character" w:customStyle="1" w:styleId="af7">
    <w:name w:val="结束语 字符"/>
    <w:link w:val="af6"/>
    <w:qFormat/>
    <w:rPr>
      <w:sz w:val="24"/>
      <w:szCs w:val="24"/>
      <w:lang w:bidi="ar-AE"/>
    </w:rPr>
  </w:style>
  <w:style w:type="character" w:customStyle="1" w:styleId="af9">
    <w:name w:val="正文文本缩进 字符"/>
    <w:link w:val="af8"/>
    <w:qFormat/>
    <w:rPr>
      <w:sz w:val="24"/>
      <w:szCs w:val="24"/>
      <w:lang w:bidi="ar-AE"/>
    </w:rPr>
  </w:style>
  <w:style w:type="character" w:customStyle="1" w:styleId="HTML0">
    <w:name w:val="HTML 地址 字符"/>
    <w:link w:val="HTML"/>
    <w:qFormat/>
    <w:rPr>
      <w:i/>
      <w:iCs/>
      <w:sz w:val="24"/>
      <w:szCs w:val="24"/>
      <w:lang w:bidi="ar-AE"/>
    </w:rPr>
  </w:style>
  <w:style w:type="character" w:customStyle="1" w:styleId="afd">
    <w:name w:val="纯文本 字符"/>
    <w:link w:val="afc"/>
    <w:qFormat/>
    <w:rPr>
      <w:rFonts w:ascii="Courier New" w:hAnsi="Courier New" w:cs="Courier New"/>
      <w:lang w:bidi="ar-AE"/>
    </w:rPr>
  </w:style>
  <w:style w:type="character" w:customStyle="1" w:styleId="aff">
    <w:name w:val="日期 字符"/>
    <w:link w:val="afe"/>
    <w:qFormat/>
    <w:rPr>
      <w:sz w:val="24"/>
      <w:szCs w:val="24"/>
      <w:lang w:bidi="ar-AE"/>
    </w:rPr>
  </w:style>
  <w:style w:type="character" w:customStyle="1" w:styleId="23">
    <w:name w:val="正文文本缩进 2 字符"/>
    <w:link w:val="22"/>
    <w:qFormat/>
    <w:rPr>
      <w:sz w:val="24"/>
      <w:szCs w:val="24"/>
      <w:lang w:bidi="ar-AE"/>
    </w:rPr>
  </w:style>
  <w:style w:type="character" w:customStyle="1" w:styleId="aff1">
    <w:name w:val="尾注文本 字符"/>
    <w:link w:val="aff0"/>
    <w:qFormat/>
    <w:rPr>
      <w:lang w:bidi="ar-AE"/>
    </w:rPr>
  </w:style>
  <w:style w:type="character" w:customStyle="1" w:styleId="aff3">
    <w:name w:val="批注框文本 字符"/>
    <w:link w:val="aff2"/>
    <w:qFormat/>
    <w:rPr>
      <w:rFonts w:ascii="Tahoma" w:hAnsi="Tahoma" w:cs="Tahoma"/>
      <w:sz w:val="16"/>
      <w:szCs w:val="16"/>
      <w:lang w:bidi="ar-AE"/>
    </w:rPr>
  </w:style>
  <w:style w:type="character" w:customStyle="1" w:styleId="aff5">
    <w:name w:val="页脚 字符"/>
    <w:link w:val="aff4"/>
    <w:qFormat/>
    <w:rPr>
      <w:sz w:val="16"/>
      <w:szCs w:val="16"/>
      <w:lang w:val="en-GB" w:eastAsia="zh-CN" w:bidi="he-IL"/>
    </w:rPr>
  </w:style>
  <w:style w:type="character" w:customStyle="1" w:styleId="aff8">
    <w:name w:val="页眉 字符"/>
    <w:link w:val="aff7"/>
    <w:uiPriority w:val="99"/>
    <w:qFormat/>
    <w:rPr>
      <w:sz w:val="24"/>
      <w:szCs w:val="24"/>
      <w:lang w:val="en-GB" w:eastAsia="zh-CN" w:bidi="he-IL"/>
    </w:rPr>
  </w:style>
  <w:style w:type="character" w:customStyle="1" w:styleId="affa">
    <w:name w:val="签名 字符"/>
    <w:link w:val="aff9"/>
    <w:qFormat/>
    <w:rPr>
      <w:sz w:val="24"/>
      <w:szCs w:val="24"/>
      <w:lang w:bidi="ar-AE"/>
    </w:rPr>
  </w:style>
  <w:style w:type="character" w:customStyle="1" w:styleId="affd">
    <w:name w:val="副标题 字符"/>
    <w:link w:val="affc"/>
    <w:qFormat/>
    <w:rPr>
      <w:sz w:val="24"/>
      <w:szCs w:val="24"/>
      <w:lang w:bidi="ar-AE"/>
    </w:rPr>
  </w:style>
  <w:style w:type="character" w:customStyle="1" w:styleId="afff0">
    <w:name w:val="脚注文本 字符"/>
    <w:link w:val="afff"/>
    <w:qFormat/>
    <w:rPr>
      <w:lang w:bidi="ar-AE"/>
    </w:rPr>
  </w:style>
  <w:style w:type="character" w:customStyle="1" w:styleId="36">
    <w:name w:val="正文文本缩进 3 字符"/>
    <w:link w:val="35"/>
    <w:qFormat/>
    <w:rPr>
      <w:sz w:val="16"/>
      <w:szCs w:val="16"/>
      <w:lang w:bidi="ar-AE"/>
    </w:rPr>
  </w:style>
  <w:style w:type="character" w:customStyle="1" w:styleId="25">
    <w:name w:val="正文文本 2 字符"/>
    <w:link w:val="24"/>
    <w:qFormat/>
    <w:rPr>
      <w:sz w:val="24"/>
      <w:szCs w:val="24"/>
      <w:lang w:eastAsia="en-GB" w:bidi="ar-AE"/>
    </w:rPr>
  </w:style>
  <w:style w:type="character" w:customStyle="1" w:styleId="afff3">
    <w:name w:val="信息标题 字符"/>
    <w:link w:val="afff2"/>
    <w:qFormat/>
    <w:rPr>
      <w:rFonts w:ascii="Times New Roman" w:eastAsia="宋体" w:hAnsi="Times New Roman" w:cs="Simplified Arabic"/>
      <w:sz w:val="24"/>
      <w:szCs w:val="24"/>
      <w:shd w:val="pct20" w:color="auto" w:fill="auto"/>
      <w:lang w:bidi="ar-AE"/>
    </w:rPr>
  </w:style>
  <w:style w:type="character" w:customStyle="1" w:styleId="HTML2">
    <w:name w:val="HTML 预设格式 字符"/>
    <w:link w:val="HTML1"/>
    <w:qFormat/>
    <w:rPr>
      <w:rFonts w:ascii="Courier New" w:hAnsi="Courier New" w:cs="Courier New"/>
      <w:lang w:bidi="ar-AE"/>
    </w:rPr>
  </w:style>
  <w:style w:type="character" w:customStyle="1" w:styleId="afff6">
    <w:name w:val="标题 字符"/>
    <w:link w:val="afff5"/>
    <w:qFormat/>
    <w:rPr>
      <w:b/>
      <w:bCs/>
      <w:sz w:val="24"/>
      <w:szCs w:val="24"/>
      <w:lang w:bidi="ar-AE"/>
    </w:rPr>
  </w:style>
  <w:style w:type="character" w:customStyle="1" w:styleId="afff8">
    <w:name w:val="批注主题 字符"/>
    <w:link w:val="afff7"/>
    <w:qFormat/>
    <w:rPr>
      <w:b/>
      <w:bCs/>
      <w:lang w:bidi="ar-AE"/>
    </w:rPr>
  </w:style>
  <w:style w:type="character" w:customStyle="1" w:styleId="afffa">
    <w:name w:val="正文文本首行缩进 字符"/>
    <w:link w:val="afff9"/>
    <w:rPr>
      <w:sz w:val="24"/>
      <w:szCs w:val="24"/>
      <w:lang w:eastAsia="en-GB" w:bidi="ar-AE"/>
    </w:rPr>
  </w:style>
  <w:style w:type="character" w:customStyle="1" w:styleId="29">
    <w:name w:val="正文文本首行缩进 2 字符"/>
    <w:link w:val="28"/>
    <w:qFormat/>
    <w:rPr>
      <w:sz w:val="24"/>
      <w:szCs w:val="24"/>
      <w:lang w:eastAsia="en-GB" w:bidi="ar-AE"/>
    </w:rPr>
  </w:style>
  <w:style w:type="paragraph" w:customStyle="1" w:styleId="BodyText1">
    <w:name w:val="Body Text 1"/>
    <w:basedOn w:val="a"/>
    <w:qFormat/>
    <w:pPr>
      <w:ind w:left="720"/>
    </w:pPr>
    <w:rPr>
      <w:lang w:eastAsia="en-GB"/>
    </w:rPr>
  </w:style>
  <w:style w:type="paragraph" w:customStyle="1" w:styleId="BodyText4">
    <w:name w:val="Body Text 4"/>
    <w:basedOn w:val="a"/>
    <w:qFormat/>
    <w:pPr>
      <w:ind w:left="2880"/>
    </w:pPr>
    <w:rPr>
      <w:lang w:eastAsia="en-GB"/>
    </w:rPr>
  </w:style>
  <w:style w:type="paragraph" w:customStyle="1" w:styleId="BodyText5">
    <w:name w:val="Body Text 5"/>
    <w:basedOn w:val="a"/>
    <w:qFormat/>
    <w:pPr>
      <w:ind w:left="3600"/>
    </w:pPr>
    <w:rPr>
      <w:lang w:eastAsia="en-GB"/>
    </w:rPr>
  </w:style>
  <w:style w:type="paragraph" w:customStyle="1" w:styleId="BodyText6">
    <w:name w:val="Body Text 6"/>
    <w:basedOn w:val="a"/>
    <w:qFormat/>
    <w:pPr>
      <w:ind w:left="4320"/>
    </w:pPr>
    <w:rPr>
      <w:lang w:eastAsia="en-GB"/>
    </w:rPr>
  </w:style>
  <w:style w:type="paragraph" w:customStyle="1" w:styleId="BodyText7">
    <w:name w:val="Body Text 7"/>
    <w:basedOn w:val="a"/>
    <w:qFormat/>
    <w:pPr>
      <w:ind w:left="5041"/>
    </w:pPr>
    <w:rPr>
      <w:lang w:eastAsia="en-GB"/>
    </w:rPr>
  </w:style>
  <w:style w:type="paragraph" w:customStyle="1" w:styleId="FooterRight">
    <w:name w:val="Footer Right"/>
    <w:basedOn w:val="aff4"/>
    <w:qFormat/>
    <w:pPr>
      <w:jc w:val="right"/>
    </w:pPr>
  </w:style>
  <w:style w:type="paragraph" w:customStyle="1" w:styleId="Footnote">
    <w:name w:val="Footnote"/>
    <w:basedOn w:val="afff"/>
    <w:qFormat/>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qFormat/>
    <w:rPr>
      <w:b/>
      <w:bCs/>
    </w:rPr>
  </w:style>
  <w:style w:type="paragraph" w:customStyle="1" w:styleId="NormalBoldNS">
    <w:name w:val="NormalBoldNS"/>
    <w:basedOn w:val="a"/>
    <w:next w:val="a"/>
    <w:qFormat/>
    <w:pPr>
      <w:spacing w:after="0"/>
      <w:jc w:val="left"/>
    </w:pPr>
    <w:rPr>
      <w:b/>
      <w:bCs/>
    </w:rPr>
  </w:style>
  <w:style w:type="paragraph" w:customStyle="1" w:styleId="NormalNS">
    <w:name w:val="NormalNS"/>
    <w:basedOn w:val="a"/>
    <w:qFormat/>
    <w:pPr>
      <w:spacing w:after="0"/>
    </w:pPr>
  </w:style>
  <w:style w:type="paragraph" w:customStyle="1" w:styleId="NormalRight">
    <w:name w:val="NormalRight"/>
    <w:basedOn w:val="NormalNS"/>
    <w:qFormat/>
    <w:pPr>
      <w:jc w:val="right"/>
    </w:pPr>
  </w:style>
  <w:style w:type="paragraph" w:customStyle="1" w:styleId="NoteContinuation">
    <w:name w:val="Note Continuation"/>
    <w:basedOn w:val="a"/>
    <w:qFormat/>
    <w:pPr>
      <w:spacing w:after="120"/>
      <w:ind w:left="340"/>
    </w:pPr>
    <w:rPr>
      <w:sz w:val="20"/>
      <w:szCs w:val="20"/>
    </w:rPr>
  </w:style>
  <w:style w:type="paragraph" w:customStyle="1" w:styleId="TOC10">
    <w:name w:val="TOC 标题1"/>
    <w:basedOn w:val="a"/>
    <w:next w:val="a"/>
    <w:qFormat/>
    <w:pPr>
      <w:jc w:val="center"/>
    </w:pPr>
    <w:rPr>
      <w:b/>
      <w:bCs/>
      <w:caps/>
    </w:rPr>
  </w:style>
  <w:style w:type="paragraph" w:customStyle="1" w:styleId="BGHStandard">
    <w:name w:val="BGH Standard"/>
    <w:basedOn w:val="a"/>
    <w:qFormat/>
    <w:pPr>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affc"/>
    <w:qFormat/>
    <w:pPr>
      <w:spacing w:after="0"/>
    </w:pPr>
  </w:style>
  <w:style w:type="paragraph" w:customStyle="1" w:styleId="OptionLabel">
    <w:name w:val="OptionLabel"/>
    <w:qFormat/>
    <w:rPr>
      <w:b/>
      <w:bCs/>
      <w:sz w:val="24"/>
      <w:szCs w:val="24"/>
      <w:lang w:val="en-GB" w:bidi="ar-AE"/>
    </w:rPr>
  </w:style>
  <w:style w:type="paragraph" w:customStyle="1" w:styleId="NormalLeft0">
    <w:name w:val="NormalLeft"/>
    <w:basedOn w:val="a"/>
    <w:next w:val="a"/>
    <w:qFormat/>
    <w:pPr>
      <w:jc w:val="left"/>
    </w:pPr>
  </w:style>
  <w:style w:type="paragraph" w:customStyle="1" w:styleId="1b">
    <w:name w:val="书目1"/>
    <w:basedOn w:val="a"/>
    <w:next w:val="a"/>
    <w:qFormat/>
  </w:style>
  <w:style w:type="table" w:customStyle="1" w:styleId="ColorfulGrid1">
    <w:name w:val="Colorful Grid1"/>
    <w:basedOn w:val="a2"/>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qFormat/>
    <w:rPr>
      <w:color w:val="000000"/>
    </w:rPr>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qFormat/>
    <w:rPr>
      <w:color w:val="FFFFFF"/>
    </w:rPr>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a">
    <w:name w:val="Intense Quote"/>
    <w:basedOn w:val="a"/>
    <w:next w:val="a"/>
    <w:link w:val="affffb"/>
    <w:qFormat/>
    <w:pPr>
      <w:pBdr>
        <w:bottom w:val="single" w:sz="4" w:space="4" w:color="4F81BD"/>
      </w:pBdr>
      <w:spacing w:before="200" w:after="280"/>
      <w:ind w:left="936" w:right="936"/>
    </w:pPr>
    <w:rPr>
      <w:rFonts w:cs="Simplified Arabic"/>
      <w:b/>
      <w:bCs/>
      <w:i/>
      <w:iCs/>
      <w:color w:val="4F81BD"/>
    </w:rPr>
  </w:style>
  <w:style w:type="character" w:customStyle="1" w:styleId="affffb">
    <w:name w:val="明显引用 字符"/>
    <w:link w:val="affffa"/>
    <w:qFormat/>
    <w:rPr>
      <w:b/>
      <w:bCs/>
      <w:i/>
      <w:iCs/>
      <w:color w:val="4F81BD"/>
      <w:sz w:val="24"/>
      <w:szCs w:val="24"/>
      <w:lang w:bidi="ar-AE"/>
    </w:rPr>
  </w:style>
  <w:style w:type="table" w:customStyle="1" w:styleId="LightGrid1">
    <w:name w:val="Light Grid1"/>
    <w:basedOn w:val="a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LightGrid-Accent11">
    <w:name w:val="Light Grid - Accent 11"/>
    <w:basedOn w:val="a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customStyle="1" w:styleId="LightList1">
    <w:name w:val="Light List1"/>
    <w:basedOn w:val="a2"/>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qFormat/>
    <w:rPr>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customStyle="1" w:styleId="MediumList11">
    <w:name w:val="Medium List 11"/>
    <w:basedOn w:val="a2"/>
    <w:qFormat/>
    <w:rPr>
      <w:color w:val="000000"/>
    </w:rPr>
    <w:tblPr>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qFormat/>
    <w:rPr>
      <w:color w:val="000000"/>
    </w:rPr>
    <w:tblPr>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qFormat/>
    <w:rPr>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a2"/>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c">
    <w:name w:val="Quote"/>
    <w:basedOn w:val="a"/>
    <w:next w:val="a"/>
    <w:link w:val="affffd"/>
    <w:qFormat/>
    <w:rPr>
      <w:rFonts w:cs="Simplified Arabic"/>
      <w:i/>
      <w:iCs/>
      <w:color w:val="000000"/>
    </w:rPr>
  </w:style>
  <w:style w:type="character" w:customStyle="1" w:styleId="affffd">
    <w:name w:val="引用 字符"/>
    <w:link w:val="affffc"/>
    <w:qFormat/>
    <w:rPr>
      <w:i/>
      <w:iCs/>
      <w:color w:val="000000"/>
      <w:sz w:val="24"/>
      <w:szCs w:val="24"/>
      <w:lang w:bidi="ar-AE"/>
    </w:rPr>
  </w:style>
  <w:style w:type="paragraph" w:customStyle="1" w:styleId="StandardL9">
    <w:name w:val="Standard L9"/>
    <w:basedOn w:val="a"/>
    <w:next w:val="32"/>
    <w:link w:val="StandardL9Char"/>
    <w:qFormat/>
    <w:pPr>
      <w:numPr>
        <w:ilvl w:val="8"/>
        <w:numId w:val="1"/>
      </w:numPr>
      <w:outlineLvl w:val="8"/>
    </w:pPr>
    <w:rPr>
      <w:rFonts w:cs="Simplified Arabic"/>
    </w:rPr>
  </w:style>
  <w:style w:type="character" w:customStyle="1" w:styleId="StandardL9Char">
    <w:name w:val="Standard L9 Char"/>
    <w:link w:val="StandardL9"/>
    <w:qFormat/>
    <w:rPr>
      <w:sz w:val="24"/>
      <w:szCs w:val="24"/>
      <w:lang w:bidi="ar-AE"/>
    </w:rPr>
  </w:style>
  <w:style w:type="paragraph" w:customStyle="1" w:styleId="StandardL8">
    <w:name w:val="Standard L8"/>
    <w:basedOn w:val="a"/>
    <w:next w:val="24"/>
    <w:link w:val="StandardL8Char"/>
    <w:qFormat/>
    <w:pPr>
      <w:numPr>
        <w:ilvl w:val="7"/>
        <w:numId w:val="1"/>
      </w:numPr>
      <w:outlineLvl w:val="7"/>
    </w:pPr>
    <w:rPr>
      <w:rFonts w:cs="Simplified Arabic"/>
    </w:rPr>
  </w:style>
  <w:style w:type="character" w:customStyle="1" w:styleId="StandardL8Char">
    <w:name w:val="Standard L8 Char"/>
    <w:link w:val="StandardL8"/>
    <w:qFormat/>
    <w:rPr>
      <w:sz w:val="24"/>
      <w:szCs w:val="24"/>
      <w:lang w:bidi="ar-AE"/>
    </w:rPr>
  </w:style>
  <w:style w:type="paragraph" w:customStyle="1" w:styleId="StandardL7">
    <w:name w:val="Standard L7"/>
    <w:basedOn w:val="a"/>
    <w:next w:val="BodyText6"/>
    <w:link w:val="StandardL7Char"/>
    <w:qFormat/>
    <w:pPr>
      <w:numPr>
        <w:ilvl w:val="6"/>
        <w:numId w:val="1"/>
      </w:numPr>
      <w:outlineLvl w:val="6"/>
    </w:pPr>
    <w:rPr>
      <w:rFonts w:cs="Simplified Arabic"/>
    </w:rPr>
  </w:style>
  <w:style w:type="character" w:customStyle="1" w:styleId="StandardL7Char">
    <w:name w:val="Standard L7 Char"/>
    <w:link w:val="StandardL7"/>
    <w:qFormat/>
    <w:rPr>
      <w:sz w:val="24"/>
      <w:szCs w:val="24"/>
      <w:lang w:bidi="ar-AE"/>
    </w:rPr>
  </w:style>
  <w:style w:type="paragraph" w:customStyle="1" w:styleId="StandardL6">
    <w:name w:val="Standard L6"/>
    <w:basedOn w:val="a"/>
    <w:next w:val="BodyText5"/>
    <w:link w:val="StandardL6Char"/>
    <w:qFormat/>
    <w:pPr>
      <w:numPr>
        <w:ilvl w:val="5"/>
        <w:numId w:val="1"/>
      </w:numPr>
      <w:outlineLvl w:val="5"/>
    </w:pPr>
    <w:rPr>
      <w:rFonts w:cs="Simplified Arabic"/>
    </w:rPr>
  </w:style>
  <w:style w:type="character" w:customStyle="1" w:styleId="StandardL6Char">
    <w:name w:val="Standard L6 Char"/>
    <w:link w:val="StandardL6"/>
    <w:qFormat/>
    <w:rPr>
      <w:sz w:val="24"/>
      <w:szCs w:val="24"/>
      <w:lang w:bidi="ar-AE"/>
    </w:rPr>
  </w:style>
  <w:style w:type="paragraph" w:customStyle="1" w:styleId="StandardL5">
    <w:name w:val="Standard L5"/>
    <w:basedOn w:val="a"/>
    <w:next w:val="BodyText4"/>
    <w:link w:val="StandardL5Char"/>
    <w:qFormat/>
    <w:pPr>
      <w:numPr>
        <w:ilvl w:val="4"/>
        <w:numId w:val="1"/>
      </w:numPr>
      <w:outlineLvl w:val="4"/>
    </w:pPr>
    <w:rPr>
      <w:rFonts w:cs="Simplified Arabic"/>
    </w:rPr>
  </w:style>
  <w:style w:type="character" w:customStyle="1" w:styleId="StandardL5Char">
    <w:name w:val="Standard L5 Char"/>
    <w:link w:val="StandardL5"/>
    <w:qFormat/>
    <w:rPr>
      <w:sz w:val="24"/>
      <w:szCs w:val="24"/>
      <w:lang w:bidi="ar-AE"/>
    </w:rPr>
  </w:style>
  <w:style w:type="paragraph" w:customStyle="1" w:styleId="BulletL9">
    <w:name w:val="Bullet L9"/>
    <w:basedOn w:val="a"/>
    <w:link w:val="BulletL9Char"/>
    <w:qFormat/>
    <w:pPr>
      <w:numPr>
        <w:ilvl w:val="8"/>
        <w:numId w:val="2"/>
      </w:numPr>
      <w:outlineLvl w:val="8"/>
    </w:pPr>
    <w:rPr>
      <w:rFonts w:cs="Simplified Arabic"/>
    </w:rPr>
  </w:style>
  <w:style w:type="character" w:customStyle="1" w:styleId="BulletL9Char">
    <w:name w:val="Bullet L9 Char"/>
    <w:link w:val="BulletL9"/>
    <w:qFormat/>
    <w:rPr>
      <w:sz w:val="24"/>
      <w:szCs w:val="24"/>
      <w:lang w:bidi="ar-AE"/>
    </w:rPr>
  </w:style>
  <w:style w:type="paragraph" w:customStyle="1" w:styleId="BulletL8">
    <w:name w:val="Bullet L8"/>
    <w:basedOn w:val="a"/>
    <w:link w:val="BulletL8Char"/>
    <w:qFormat/>
    <w:pPr>
      <w:numPr>
        <w:ilvl w:val="7"/>
        <w:numId w:val="2"/>
      </w:numPr>
      <w:outlineLvl w:val="7"/>
    </w:pPr>
    <w:rPr>
      <w:rFonts w:cs="Simplified Arabic"/>
    </w:rPr>
  </w:style>
  <w:style w:type="character" w:customStyle="1" w:styleId="BulletL8Char">
    <w:name w:val="Bullet L8 Char"/>
    <w:link w:val="BulletL8"/>
    <w:qFormat/>
    <w:rPr>
      <w:sz w:val="24"/>
      <w:szCs w:val="24"/>
      <w:lang w:bidi="ar-AE"/>
    </w:rPr>
  </w:style>
  <w:style w:type="paragraph" w:customStyle="1" w:styleId="BulletL7">
    <w:name w:val="Bullet L7"/>
    <w:basedOn w:val="a"/>
    <w:link w:val="BulletL7Char"/>
    <w:qFormat/>
    <w:pPr>
      <w:numPr>
        <w:ilvl w:val="6"/>
        <w:numId w:val="2"/>
      </w:numPr>
      <w:outlineLvl w:val="6"/>
    </w:pPr>
    <w:rPr>
      <w:rFonts w:cs="Simplified Arabic"/>
    </w:rPr>
  </w:style>
  <w:style w:type="character" w:customStyle="1" w:styleId="BulletL7Char">
    <w:name w:val="Bullet L7 Char"/>
    <w:link w:val="BulletL7"/>
    <w:qFormat/>
    <w:rPr>
      <w:sz w:val="24"/>
      <w:szCs w:val="24"/>
      <w:lang w:bidi="ar-AE"/>
    </w:rPr>
  </w:style>
  <w:style w:type="paragraph" w:customStyle="1" w:styleId="BulletL6">
    <w:name w:val="Bullet L6"/>
    <w:basedOn w:val="a"/>
    <w:link w:val="BulletL6Char"/>
    <w:qFormat/>
    <w:pPr>
      <w:numPr>
        <w:ilvl w:val="5"/>
        <w:numId w:val="2"/>
      </w:numPr>
      <w:outlineLvl w:val="5"/>
    </w:pPr>
    <w:rPr>
      <w:rFonts w:cs="Simplified Arabic"/>
    </w:rPr>
  </w:style>
  <w:style w:type="character" w:customStyle="1" w:styleId="BulletL6Char">
    <w:name w:val="Bullet L6 Char"/>
    <w:link w:val="BulletL6"/>
    <w:qFormat/>
    <w:rPr>
      <w:sz w:val="24"/>
      <w:szCs w:val="24"/>
      <w:lang w:bidi="ar-AE"/>
    </w:rPr>
  </w:style>
  <w:style w:type="paragraph" w:customStyle="1" w:styleId="BulletL5">
    <w:name w:val="Bullet L5"/>
    <w:basedOn w:val="a"/>
    <w:link w:val="BulletL5Char"/>
    <w:qFormat/>
    <w:pPr>
      <w:numPr>
        <w:ilvl w:val="4"/>
        <w:numId w:val="2"/>
      </w:numPr>
      <w:outlineLvl w:val="4"/>
    </w:pPr>
    <w:rPr>
      <w:rFonts w:cs="Simplified Arabic"/>
    </w:rPr>
  </w:style>
  <w:style w:type="character" w:customStyle="1" w:styleId="BulletL5Char">
    <w:name w:val="Bullet L5 Char"/>
    <w:link w:val="BulletL5"/>
    <w:qFormat/>
    <w:rPr>
      <w:sz w:val="24"/>
      <w:szCs w:val="24"/>
      <w:lang w:bidi="ar-AE"/>
    </w:rPr>
  </w:style>
  <w:style w:type="paragraph" w:customStyle="1" w:styleId="BulletL4">
    <w:name w:val="Bullet L4"/>
    <w:basedOn w:val="a"/>
    <w:link w:val="BulletL4Char"/>
    <w:qFormat/>
    <w:pPr>
      <w:numPr>
        <w:ilvl w:val="3"/>
        <w:numId w:val="2"/>
      </w:numPr>
      <w:outlineLvl w:val="3"/>
    </w:pPr>
    <w:rPr>
      <w:rFonts w:cs="Simplified Arabic"/>
    </w:rPr>
  </w:style>
  <w:style w:type="character" w:customStyle="1" w:styleId="BulletL4Char">
    <w:name w:val="Bullet L4 Char"/>
    <w:link w:val="BulletL4"/>
    <w:qFormat/>
    <w:rPr>
      <w:sz w:val="24"/>
      <w:szCs w:val="24"/>
      <w:lang w:bidi="ar-AE"/>
    </w:rPr>
  </w:style>
  <w:style w:type="paragraph" w:customStyle="1" w:styleId="BulletL3">
    <w:name w:val="Bullet L3"/>
    <w:basedOn w:val="a"/>
    <w:link w:val="BulletL3Char"/>
    <w:qFormat/>
    <w:pPr>
      <w:numPr>
        <w:ilvl w:val="2"/>
        <w:numId w:val="2"/>
      </w:numPr>
      <w:outlineLvl w:val="2"/>
    </w:pPr>
    <w:rPr>
      <w:rFonts w:cs="Simplified Arabic"/>
    </w:rPr>
  </w:style>
  <w:style w:type="character" w:customStyle="1" w:styleId="BulletL3Char">
    <w:name w:val="Bullet L3 Char"/>
    <w:link w:val="BulletL3"/>
    <w:qFormat/>
    <w:rPr>
      <w:sz w:val="24"/>
      <w:szCs w:val="24"/>
      <w:lang w:bidi="ar-AE"/>
    </w:rPr>
  </w:style>
  <w:style w:type="paragraph" w:customStyle="1" w:styleId="BulletL2">
    <w:name w:val="Bullet L2"/>
    <w:basedOn w:val="a"/>
    <w:link w:val="BulletL2Char"/>
    <w:qFormat/>
    <w:pPr>
      <w:numPr>
        <w:ilvl w:val="1"/>
        <w:numId w:val="2"/>
      </w:numPr>
      <w:outlineLvl w:val="1"/>
    </w:pPr>
    <w:rPr>
      <w:rFonts w:cs="Simplified Arabic"/>
    </w:rPr>
  </w:style>
  <w:style w:type="character" w:customStyle="1" w:styleId="BulletL2Char">
    <w:name w:val="Bullet L2 Char"/>
    <w:link w:val="BulletL2"/>
    <w:qFormat/>
    <w:rPr>
      <w:sz w:val="24"/>
      <w:szCs w:val="24"/>
      <w:lang w:bidi="ar-AE"/>
    </w:rPr>
  </w:style>
  <w:style w:type="paragraph" w:customStyle="1" w:styleId="BulletL1">
    <w:name w:val="Bullet L1"/>
    <w:basedOn w:val="a"/>
    <w:link w:val="BulletL1Char"/>
    <w:qFormat/>
    <w:pPr>
      <w:numPr>
        <w:numId w:val="2"/>
      </w:numPr>
      <w:outlineLvl w:val="0"/>
    </w:pPr>
    <w:rPr>
      <w:rFonts w:cs="Simplified Arabic"/>
    </w:rPr>
  </w:style>
  <w:style w:type="character" w:customStyle="1" w:styleId="BulletL1Char">
    <w:name w:val="Bullet L1 Char"/>
    <w:link w:val="BulletL1"/>
    <w:qFormat/>
    <w:rPr>
      <w:sz w:val="24"/>
      <w:szCs w:val="24"/>
      <w:lang w:bidi="ar-AE"/>
    </w:rPr>
  </w:style>
  <w:style w:type="paragraph" w:customStyle="1" w:styleId="StandardL4">
    <w:name w:val="Standard L4"/>
    <w:basedOn w:val="a"/>
    <w:next w:val="32"/>
    <w:link w:val="StandardL4Char"/>
    <w:qFormat/>
    <w:pPr>
      <w:numPr>
        <w:ilvl w:val="3"/>
        <w:numId w:val="1"/>
      </w:numPr>
      <w:outlineLvl w:val="3"/>
    </w:pPr>
    <w:rPr>
      <w:rFonts w:cs="Simplified Arabic"/>
    </w:rPr>
  </w:style>
  <w:style w:type="character" w:customStyle="1" w:styleId="StandardL4Char">
    <w:name w:val="Standard L4 Char"/>
    <w:link w:val="StandardL4"/>
    <w:qFormat/>
    <w:rPr>
      <w:sz w:val="24"/>
      <w:szCs w:val="24"/>
      <w:lang w:bidi="ar-AE"/>
    </w:rPr>
  </w:style>
  <w:style w:type="paragraph" w:customStyle="1" w:styleId="StandardL3">
    <w:name w:val="Standard L3"/>
    <w:basedOn w:val="a"/>
    <w:next w:val="24"/>
    <w:link w:val="StandardL3Char"/>
    <w:qFormat/>
    <w:pPr>
      <w:numPr>
        <w:ilvl w:val="2"/>
        <w:numId w:val="1"/>
      </w:numPr>
      <w:outlineLvl w:val="2"/>
    </w:pPr>
    <w:rPr>
      <w:rFonts w:cs="Simplified Arabic"/>
    </w:rPr>
  </w:style>
  <w:style w:type="character" w:customStyle="1" w:styleId="StandardL3Char">
    <w:name w:val="Standard L3 Char"/>
    <w:link w:val="StandardL3"/>
    <w:qFormat/>
    <w:rPr>
      <w:sz w:val="24"/>
      <w:szCs w:val="24"/>
      <w:lang w:bidi="ar-AE"/>
    </w:rPr>
  </w:style>
  <w:style w:type="paragraph" w:customStyle="1" w:styleId="StandardL2">
    <w:name w:val="Standard L2"/>
    <w:basedOn w:val="a"/>
    <w:next w:val="BodyText1"/>
    <w:link w:val="StandardL2Char"/>
    <w:qFormat/>
    <w:pPr>
      <w:numPr>
        <w:ilvl w:val="1"/>
        <w:numId w:val="1"/>
      </w:numPr>
      <w:outlineLvl w:val="1"/>
    </w:pPr>
    <w:rPr>
      <w:rFonts w:cs="Simplified Arabic"/>
    </w:rPr>
  </w:style>
  <w:style w:type="character" w:customStyle="1" w:styleId="StandardL2Char">
    <w:name w:val="Standard L2 Char"/>
    <w:link w:val="StandardL2"/>
    <w:qFormat/>
    <w:rPr>
      <w:sz w:val="24"/>
      <w:szCs w:val="24"/>
      <w:lang w:bidi="ar-AE"/>
    </w:rPr>
  </w:style>
  <w:style w:type="paragraph" w:customStyle="1" w:styleId="StandardL1">
    <w:name w:val="Standard L1"/>
    <w:basedOn w:val="a"/>
    <w:next w:val="BodyText1"/>
    <w:link w:val="StandardL1Char"/>
    <w:qFormat/>
    <w:pPr>
      <w:keepNext/>
      <w:numPr>
        <w:numId w:val="1"/>
      </w:numPr>
      <w:suppressAutoHyphens/>
      <w:jc w:val="left"/>
      <w:outlineLvl w:val="0"/>
    </w:pPr>
    <w:rPr>
      <w:rFonts w:cs="Simplified Arabic"/>
      <w:b/>
      <w:caps/>
    </w:rPr>
  </w:style>
  <w:style w:type="character" w:customStyle="1" w:styleId="StandardL1Char">
    <w:name w:val="Standard L1 Char"/>
    <w:link w:val="StandardL1"/>
    <w:qFormat/>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qFormat/>
    <w:pPr>
      <w:numPr>
        <w:numId w:val="3"/>
      </w:numPr>
      <w:spacing w:before="0"/>
    </w:pPr>
    <w:rPr>
      <w:rFonts w:eastAsia="仿宋_GB2312"/>
      <w:bCs/>
      <w:sz w:val="21"/>
      <w:szCs w:val="21"/>
    </w:rPr>
  </w:style>
  <w:style w:type="paragraph" w:customStyle="1" w:styleId="1c">
    <w:name w:val="修订1"/>
    <w:uiPriority w:val="99"/>
    <w:unhideWhenUsed/>
    <w:qFormat/>
    <w:rPr>
      <w:sz w:val="24"/>
      <w:szCs w:val="24"/>
      <w:lang w:val="en-GB" w:bidi="ar-AE"/>
    </w:rPr>
  </w:style>
  <w:style w:type="character" w:customStyle="1" w:styleId="1d">
    <w:name w:val="未处理的提及1"/>
    <w:uiPriority w:val="99"/>
    <w:unhideWhenUsed/>
    <w:qFormat/>
    <w:rPr>
      <w:color w:val="605E5C"/>
      <w:shd w:val="clear" w:color="auto" w:fill="E1DFDD"/>
    </w:rPr>
  </w:style>
  <w:style w:type="paragraph" w:customStyle="1" w:styleId="2f3">
    <w:name w:val="修订2"/>
    <w:hidden/>
    <w:uiPriority w:val="99"/>
    <w:unhideWhenUsed/>
    <w:qFormat/>
    <w:rPr>
      <w:sz w:val="24"/>
      <w:szCs w:val="24"/>
      <w:lang w:val="en-GB" w:bidi="ar-AE"/>
    </w:rPr>
  </w:style>
  <w:style w:type="paragraph" w:styleId="affffe">
    <w:name w:val="Revision"/>
    <w:hidden/>
    <w:uiPriority w:val="99"/>
    <w:unhideWhenUsed/>
    <w:rsid w:val="002F4796"/>
    <w:rPr>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552C-38A6-455C-8F6F-0FF29E5E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18</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cp:lastModifiedBy>tongshang</cp:lastModifiedBy>
  <cp:revision>7</cp:revision>
  <cp:lastPrinted>2025-06-11T08:09:00Z</cp:lastPrinted>
  <dcterms:created xsi:type="dcterms:W3CDTF">2025-06-10T09:24:00Z</dcterms:created>
  <dcterms:modified xsi:type="dcterms:W3CDTF">2025-06-17T06:10:00Z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38D1405276404D90BF0325422FC0F679_13</vt:lpwstr>
  </property>
  <property fmtid="{D5CDD505-2E9C-101B-9397-08002B2CF9AE}" pid="4" name="KSOTemplateDocerSaveRecord">
    <vt:lpwstr>eyJoZGlkIjoiNDBkMjQ3OWZhMTFkYjZjMmI3ZWNjY2JlZWRjZGMyMGEiLCJ1c2VySWQiOiI0ODM2MjIyNDcifQ==</vt:lpwstr>
  </property>
</Properties>
</file>